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2FF8" w14:textId="790FF0A4" w:rsidR="00250A66" w:rsidRDefault="00252F2B" w:rsidP="00252F2B">
      <w:pPr>
        <w:tabs>
          <w:tab w:val="left" w:pos="2268"/>
        </w:tabs>
        <w:jc w:val="center"/>
        <w:rPr>
          <w:b/>
          <w:sz w:val="32"/>
          <w:szCs w:val="32"/>
        </w:rPr>
      </w:pPr>
      <w:r w:rsidRPr="00252F2B">
        <w:rPr>
          <w:b/>
          <w:sz w:val="32"/>
          <w:szCs w:val="32"/>
        </w:rPr>
        <w:t xml:space="preserve">The Effect of </w:t>
      </w:r>
      <w:proofErr w:type="spellStart"/>
      <w:r w:rsidRPr="00252F2B">
        <w:rPr>
          <w:b/>
          <w:sz w:val="32"/>
          <w:szCs w:val="32"/>
        </w:rPr>
        <w:t>Kahoot</w:t>
      </w:r>
      <w:proofErr w:type="spellEnd"/>
      <w:r w:rsidRPr="00252F2B">
        <w:rPr>
          <w:b/>
          <w:sz w:val="32"/>
          <w:szCs w:val="32"/>
        </w:rPr>
        <w:t xml:space="preserve">! Learning Media </w:t>
      </w:r>
      <w:proofErr w:type="gramStart"/>
      <w:r w:rsidRPr="00252F2B">
        <w:rPr>
          <w:b/>
          <w:sz w:val="32"/>
          <w:szCs w:val="32"/>
        </w:rPr>
        <w:t>On</w:t>
      </w:r>
      <w:proofErr w:type="gramEnd"/>
      <w:r w:rsidRPr="00252F2B">
        <w:rPr>
          <w:b/>
          <w:sz w:val="32"/>
          <w:szCs w:val="32"/>
        </w:rPr>
        <w:t xml:space="preserve"> Learning Outcomes of German Language Students On The Topic </w:t>
      </w:r>
      <w:proofErr w:type="spellStart"/>
      <w:r w:rsidRPr="00252F2B">
        <w:rPr>
          <w:b/>
          <w:sz w:val="32"/>
          <w:szCs w:val="32"/>
        </w:rPr>
        <w:t>Sprechfertigkeit</w:t>
      </w:r>
      <w:proofErr w:type="spellEnd"/>
    </w:p>
    <w:p w14:paraId="738FAA60" w14:textId="77777777" w:rsidR="00252F2B" w:rsidRPr="00252F2B" w:rsidRDefault="00252F2B" w:rsidP="00252F2B">
      <w:pPr>
        <w:tabs>
          <w:tab w:val="left" w:pos="2268"/>
        </w:tabs>
        <w:jc w:val="center"/>
        <w:rPr>
          <w:b/>
          <w:sz w:val="32"/>
          <w:szCs w:val="32"/>
        </w:rPr>
      </w:pPr>
    </w:p>
    <w:p w14:paraId="4F4A6603" w14:textId="77777777" w:rsidR="00252F2B" w:rsidRDefault="00252F2B" w:rsidP="0016440A">
      <w:pPr>
        <w:shd w:val="clear" w:color="auto" w:fill="FFFFFF"/>
        <w:jc w:val="center"/>
        <w:rPr>
          <w:b/>
        </w:rPr>
      </w:pPr>
    </w:p>
    <w:p w14:paraId="2E87BFF0" w14:textId="20B61011" w:rsidR="0016440A" w:rsidRPr="0016440A" w:rsidRDefault="0016440A" w:rsidP="0016440A">
      <w:pPr>
        <w:shd w:val="clear" w:color="auto" w:fill="FFFFFF"/>
        <w:jc w:val="center"/>
        <w:rPr>
          <w:b/>
        </w:rPr>
      </w:pPr>
      <w:r w:rsidRPr="0016440A">
        <w:rPr>
          <w:b/>
        </w:rPr>
        <w:t xml:space="preserve">Samuel </w:t>
      </w:r>
      <w:proofErr w:type="spellStart"/>
      <w:r w:rsidRPr="0016440A">
        <w:rPr>
          <w:b/>
        </w:rPr>
        <w:t>Jusuf</w:t>
      </w:r>
      <w:proofErr w:type="spellEnd"/>
      <w:r w:rsidRPr="0016440A">
        <w:rPr>
          <w:b/>
        </w:rPr>
        <w:t xml:space="preserve"> </w:t>
      </w:r>
      <w:proofErr w:type="spellStart"/>
      <w:r w:rsidRPr="0016440A">
        <w:rPr>
          <w:b/>
        </w:rPr>
        <w:t>Litualy</w:t>
      </w:r>
      <w:proofErr w:type="spellEnd"/>
      <w:r w:rsidRPr="0016440A">
        <w:rPr>
          <w:b/>
        </w:rPr>
        <w:t xml:space="preserve">, </w:t>
      </w:r>
      <w:proofErr w:type="spellStart"/>
      <w:r w:rsidRPr="0016440A">
        <w:rPr>
          <w:b/>
        </w:rPr>
        <w:t>Henderika</w:t>
      </w:r>
      <w:proofErr w:type="spellEnd"/>
      <w:r w:rsidRPr="0016440A">
        <w:rPr>
          <w:b/>
        </w:rPr>
        <w:t xml:space="preserve"> </w:t>
      </w:r>
      <w:proofErr w:type="spellStart"/>
      <w:r w:rsidRPr="0016440A">
        <w:rPr>
          <w:b/>
        </w:rPr>
        <w:t>Serpara</w:t>
      </w:r>
      <w:proofErr w:type="spellEnd"/>
      <w:r w:rsidRPr="0016440A">
        <w:rPr>
          <w:b/>
        </w:rPr>
        <w:t xml:space="preserve">, </w:t>
      </w:r>
      <w:proofErr w:type="spellStart"/>
      <w:r w:rsidRPr="0016440A">
        <w:rPr>
          <w:b/>
        </w:rPr>
        <w:t>Eldaa</w:t>
      </w:r>
      <w:proofErr w:type="spellEnd"/>
      <w:r w:rsidRPr="0016440A">
        <w:rPr>
          <w:b/>
        </w:rPr>
        <w:t xml:space="preserve"> </w:t>
      </w:r>
      <w:proofErr w:type="spellStart"/>
      <w:r w:rsidRPr="0016440A">
        <w:rPr>
          <w:b/>
        </w:rPr>
        <w:t>Crystle</w:t>
      </w:r>
      <w:proofErr w:type="spellEnd"/>
      <w:r w:rsidRPr="0016440A">
        <w:rPr>
          <w:b/>
        </w:rPr>
        <w:t xml:space="preserve"> </w:t>
      </w:r>
      <w:r w:rsidRPr="0016440A">
        <w:rPr>
          <w:b/>
          <w:lang w:val="id-ID"/>
        </w:rPr>
        <w:t>Wenno</w:t>
      </w:r>
      <w:r w:rsidRPr="0016440A">
        <w:rPr>
          <w:b/>
        </w:rPr>
        <w:t xml:space="preserve"> </w:t>
      </w:r>
    </w:p>
    <w:p w14:paraId="1452672E" w14:textId="0D6DD8C9" w:rsidR="001A3EEC" w:rsidRPr="00F27437" w:rsidRDefault="00F27437" w:rsidP="00F27437">
      <w:pPr>
        <w:jc w:val="center"/>
        <w:rPr>
          <w:rFonts w:asciiTheme="minorHAnsi" w:hAnsiTheme="minorHAnsi" w:cstheme="minorHAnsi"/>
        </w:rPr>
      </w:pPr>
      <w:r w:rsidRPr="00E140F7">
        <w:t>Department of German Language Education</w:t>
      </w:r>
      <w:r w:rsidRPr="00E140F7">
        <w:rPr>
          <w:rFonts w:asciiTheme="minorHAnsi" w:hAnsiTheme="minorHAnsi" w:cstheme="minorHAnsi"/>
        </w:rPr>
        <w:t xml:space="preserve">, </w:t>
      </w:r>
      <w:r w:rsidR="001A3EEC" w:rsidRPr="00A60884">
        <w:rPr>
          <w:sz w:val="18"/>
          <w:szCs w:val="18"/>
        </w:rPr>
        <w:t xml:space="preserve">Faculty of Teacher Training and Education, </w:t>
      </w:r>
      <w:proofErr w:type="spellStart"/>
      <w:r w:rsidR="001A3EEC" w:rsidRPr="00A60884">
        <w:rPr>
          <w:sz w:val="18"/>
          <w:szCs w:val="18"/>
        </w:rPr>
        <w:t>Pattimura</w:t>
      </w:r>
      <w:proofErr w:type="spellEnd"/>
      <w:r w:rsidR="001A3EEC" w:rsidRPr="00A60884">
        <w:rPr>
          <w:sz w:val="18"/>
          <w:szCs w:val="18"/>
        </w:rPr>
        <w:t xml:space="preserve"> University, Ambon, Indonesia</w:t>
      </w:r>
    </w:p>
    <w:p w14:paraId="60F6CCD0"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09E611CE" w14:textId="77777777" w:rsidTr="00C07BEF">
        <w:tc>
          <w:tcPr>
            <w:tcW w:w="2802" w:type="dxa"/>
            <w:tcBorders>
              <w:top w:val="double" w:sz="4" w:space="0" w:color="auto"/>
              <w:left w:val="nil"/>
              <w:bottom w:val="single" w:sz="4" w:space="0" w:color="auto"/>
              <w:right w:val="nil"/>
            </w:tcBorders>
          </w:tcPr>
          <w:p w14:paraId="771C419E"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120E467C"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48B2AEBB" w14:textId="77777777" w:rsidR="00957C11" w:rsidRPr="00957C11" w:rsidRDefault="00957C11" w:rsidP="00957C11">
            <w:pPr>
              <w:spacing w:before="120"/>
              <w:rPr>
                <w:color w:val="000000"/>
                <w:sz w:val="24"/>
                <w:szCs w:val="24"/>
              </w:rPr>
            </w:pPr>
            <w:r w:rsidRPr="00957C11">
              <w:rPr>
                <w:b/>
                <w:bCs/>
                <w:iCs/>
                <w:color w:val="000000"/>
              </w:rPr>
              <w:t>ABSTRACT</w:t>
            </w:r>
          </w:p>
        </w:tc>
      </w:tr>
      <w:tr w:rsidR="00941203" w14:paraId="4AB7F2AA" w14:textId="77777777" w:rsidTr="00C07BEF">
        <w:trPr>
          <w:trHeight w:val="1268"/>
        </w:trPr>
        <w:tc>
          <w:tcPr>
            <w:tcW w:w="2802" w:type="dxa"/>
            <w:tcBorders>
              <w:top w:val="single" w:sz="4" w:space="0" w:color="auto"/>
              <w:left w:val="nil"/>
              <w:bottom w:val="single" w:sz="4" w:space="0" w:color="auto"/>
              <w:right w:val="nil"/>
            </w:tcBorders>
          </w:tcPr>
          <w:p w14:paraId="5A45C574" w14:textId="77777777" w:rsidR="00941203" w:rsidRPr="007F286F" w:rsidRDefault="00941203" w:rsidP="00941203">
            <w:pPr>
              <w:spacing w:before="120" w:after="120"/>
              <w:jc w:val="both"/>
              <w:rPr>
                <w:b/>
                <w:i/>
              </w:rPr>
            </w:pPr>
            <w:r w:rsidRPr="007F286F">
              <w:rPr>
                <w:b/>
                <w:i/>
              </w:rPr>
              <w:t>Article history:</w:t>
            </w:r>
          </w:p>
          <w:p w14:paraId="41B4E721" w14:textId="77777777" w:rsidR="00941203" w:rsidRDefault="00941203" w:rsidP="00957C11">
            <w:pPr>
              <w:jc w:val="both"/>
            </w:pPr>
            <w:r w:rsidRPr="00957C11">
              <w:t>Received</w:t>
            </w:r>
            <w:r>
              <w:t xml:space="preserve"> Jun 12, 201x</w:t>
            </w:r>
          </w:p>
          <w:p w14:paraId="5413BDB8" w14:textId="77777777" w:rsidR="00941203" w:rsidRDefault="00941203" w:rsidP="00957C11">
            <w:pPr>
              <w:jc w:val="both"/>
            </w:pPr>
            <w:r>
              <w:t>Revised Aug 20, 201x</w:t>
            </w:r>
          </w:p>
          <w:p w14:paraId="146228CB" w14:textId="77777777" w:rsidR="00941203" w:rsidRDefault="00941203" w:rsidP="00957C11">
            <w:pPr>
              <w:jc w:val="both"/>
            </w:pPr>
            <w:r>
              <w:t>Accepted Aug 26, 201x</w:t>
            </w:r>
          </w:p>
          <w:p w14:paraId="14C3AB45" w14:textId="77777777" w:rsidR="00941203" w:rsidRPr="00957C11" w:rsidRDefault="00941203" w:rsidP="00941203">
            <w:pPr>
              <w:jc w:val="both"/>
            </w:pPr>
          </w:p>
        </w:tc>
        <w:tc>
          <w:tcPr>
            <w:tcW w:w="283" w:type="dxa"/>
            <w:vMerge w:val="restart"/>
            <w:tcBorders>
              <w:top w:val="nil"/>
              <w:left w:val="nil"/>
              <w:bottom w:val="nil"/>
              <w:right w:val="nil"/>
            </w:tcBorders>
          </w:tcPr>
          <w:p w14:paraId="318E4065"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CA2381A" w14:textId="77777777" w:rsidR="00FE55C8" w:rsidRPr="00FE55C8" w:rsidRDefault="00FE55C8" w:rsidP="00FE55C8">
            <w:pPr>
              <w:spacing w:before="1" w:after="120"/>
              <w:ind w:left="119" w:right="-108"/>
              <w:jc w:val="both"/>
              <w:rPr>
                <w:sz w:val="18"/>
                <w:szCs w:val="18"/>
              </w:rPr>
            </w:pPr>
            <w:r w:rsidRPr="00FE55C8">
              <w:rPr>
                <w:sz w:val="18"/>
                <w:szCs w:val="18"/>
              </w:rPr>
              <w:t xml:space="preserve">This study aimed to determine the effect of the </w:t>
            </w:r>
            <w:proofErr w:type="spellStart"/>
            <w:r w:rsidRPr="00FE55C8">
              <w:rPr>
                <w:i/>
                <w:sz w:val="18"/>
                <w:szCs w:val="18"/>
              </w:rPr>
              <w:t>Kahoot</w:t>
            </w:r>
            <w:proofErr w:type="spellEnd"/>
            <w:r w:rsidRPr="00FE55C8">
              <w:rPr>
                <w:i/>
                <w:sz w:val="18"/>
                <w:szCs w:val="18"/>
              </w:rPr>
              <w:t>!</w:t>
            </w:r>
            <w:r w:rsidRPr="00FE55C8">
              <w:rPr>
                <w:sz w:val="18"/>
                <w:szCs w:val="18"/>
              </w:rPr>
              <w:t xml:space="preserve"> </w:t>
            </w:r>
            <w:proofErr w:type="gramStart"/>
            <w:r w:rsidRPr="00FE55C8">
              <w:rPr>
                <w:sz w:val="18"/>
                <w:szCs w:val="18"/>
              </w:rPr>
              <w:t>educational</w:t>
            </w:r>
            <w:proofErr w:type="gramEnd"/>
            <w:r w:rsidRPr="00FE55C8">
              <w:rPr>
                <w:sz w:val="18"/>
                <w:szCs w:val="18"/>
              </w:rPr>
              <w:t xml:space="preserve"> game learning media on German language students' learning outcomes in the </w:t>
            </w:r>
            <w:proofErr w:type="spellStart"/>
            <w:r w:rsidRPr="00FE55C8">
              <w:rPr>
                <w:i/>
                <w:iCs/>
                <w:sz w:val="18"/>
                <w:szCs w:val="18"/>
              </w:rPr>
              <w:t>Sprechfertigkeit</w:t>
            </w:r>
            <w:proofErr w:type="spellEnd"/>
            <w:r w:rsidRPr="00FE55C8">
              <w:rPr>
                <w:sz w:val="18"/>
                <w:szCs w:val="18"/>
              </w:rPr>
              <w:t xml:space="preserve"> 2 course. The sample of this study consisted of 37 students. The test instruments were given during the pretest and posttests. The data were processed and analyzed by the SPSS program. The results are as follows: (1) The </w:t>
            </w:r>
            <w:proofErr w:type="spellStart"/>
            <w:r w:rsidRPr="00FE55C8">
              <w:rPr>
                <w:sz w:val="18"/>
                <w:szCs w:val="18"/>
              </w:rPr>
              <w:t>Cronbach</w:t>
            </w:r>
            <w:proofErr w:type="spellEnd"/>
            <w:r w:rsidRPr="00FE55C8">
              <w:rPr>
                <w:sz w:val="18"/>
                <w:szCs w:val="18"/>
              </w:rPr>
              <w:t xml:space="preserve"> Alpha validity test showed that the study had high validity, namely 0.764&gt; 0.60. (2) The instrument normality test shows the value of p&gt; alpha (0.05) and (3) The statistical test results show that the value of "t-test = 631&gt; t-table = 398. Thus, the calculation results show that there is a significant effect of the </w:t>
            </w:r>
            <w:proofErr w:type="spellStart"/>
            <w:r w:rsidRPr="00FE55C8">
              <w:rPr>
                <w:i/>
                <w:sz w:val="18"/>
                <w:szCs w:val="18"/>
              </w:rPr>
              <w:t>Kahoot</w:t>
            </w:r>
            <w:proofErr w:type="spellEnd"/>
            <w:r w:rsidRPr="00FE55C8">
              <w:rPr>
                <w:i/>
                <w:sz w:val="18"/>
                <w:szCs w:val="18"/>
              </w:rPr>
              <w:t>!</w:t>
            </w:r>
            <w:r w:rsidRPr="00FE55C8">
              <w:rPr>
                <w:sz w:val="18"/>
                <w:szCs w:val="18"/>
              </w:rPr>
              <w:t xml:space="preserve"> </w:t>
            </w:r>
            <w:proofErr w:type="gramStart"/>
            <w:r w:rsidRPr="00FE55C8">
              <w:rPr>
                <w:sz w:val="18"/>
                <w:szCs w:val="18"/>
              </w:rPr>
              <w:t>educational</w:t>
            </w:r>
            <w:proofErr w:type="gramEnd"/>
            <w:r w:rsidRPr="00FE55C8">
              <w:rPr>
                <w:sz w:val="18"/>
                <w:szCs w:val="18"/>
              </w:rPr>
              <w:t xml:space="preserve"> game learning media on learning outcomes of German students in </w:t>
            </w:r>
            <w:proofErr w:type="spellStart"/>
            <w:r w:rsidRPr="00FE55C8">
              <w:rPr>
                <w:i/>
                <w:iCs/>
                <w:sz w:val="18"/>
                <w:szCs w:val="18"/>
              </w:rPr>
              <w:t>Sprechfertigkeit</w:t>
            </w:r>
            <w:proofErr w:type="spellEnd"/>
            <w:r w:rsidRPr="00FE55C8">
              <w:rPr>
                <w:sz w:val="18"/>
                <w:szCs w:val="18"/>
              </w:rPr>
              <w:t xml:space="preserve"> 2.  </w:t>
            </w:r>
          </w:p>
          <w:p w14:paraId="394943B9" w14:textId="6ECDEA4B" w:rsidR="00531A61" w:rsidRPr="00531A61" w:rsidRDefault="00531A61" w:rsidP="00531A61">
            <w:pPr>
              <w:spacing w:before="120"/>
              <w:jc w:val="both"/>
              <w:rPr>
                <w:iCs/>
                <w:color w:val="000000"/>
                <w:sz w:val="18"/>
                <w:szCs w:val="18"/>
              </w:rPr>
            </w:pPr>
          </w:p>
        </w:tc>
      </w:tr>
      <w:tr w:rsidR="00941203" w14:paraId="317A8F38" w14:textId="77777777" w:rsidTr="00C07BEF">
        <w:trPr>
          <w:trHeight w:val="1231"/>
        </w:trPr>
        <w:tc>
          <w:tcPr>
            <w:tcW w:w="2802" w:type="dxa"/>
            <w:vMerge w:val="restart"/>
            <w:tcBorders>
              <w:top w:val="single" w:sz="4" w:space="0" w:color="auto"/>
              <w:left w:val="nil"/>
              <w:bottom w:val="single" w:sz="4" w:space="0" w:color="auto"/>
              <w:right w:val="nil"/>
            </w:tcBorders>
          </w:tcPr>
          <w:p w14:paraId="0DE5312A" w14:textId="77777777"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14:paraId="72F23640" w14:textId="234E2E81" w:rsidR="000F0B67" w:rsidRDefault="000F0B67" w:rsidP="00D91CE2">
            <w:pPr>
              <w:ind w:right="362"/>
            </w:pPr>
            <w:r>
              <w:t>Learning media</w:t>
            </w:r>
            <w:r w:rsidRPr="00F33081">
              <w:t xml:space="preserve"> </w:t>
            </w:r>
          </w:p>
          <w:p w14:paraId="27BC20D7" w14:textId="79C63B74" w:rsidR="000F0B67" w:rsidRDefault="000F0B67" w:rsidP="00D91CE2">
            <w:pPr>
              <w:ind w:right="362"/>
            </w:pPr>
            <w:proofErr w:type="spellStart"/>
            <w:r>
              <w:t>Kahoot</w:t>
            </w:r>
            <w:proofErr w:type="spellEnd"/>
          </w:p>
          <w:p w14:paraId="33BB32F8" w14:textId="73C6046C" w:rsidR="000F0B67" w:rsidRDefault="000F0B67" w:rsidP="00D91CE2">
            <w:pPr>
              <w:ind w:right="362"/>
            </w:pPr>
            <w:r>
              <w:t>Learning outcomes</w:t>
            </w:r>
            <w:r w:rsidRPr="00F33081">
              <w:t xml:space="preserve"> </w:t>
            </w:r>
          </w:p>
          <w:p w14:paraId="54FB8CE5" w14:textId="5A41D256" w:rsidR="00D91CE2" w:rsidRPr="00C00B5B" w:rsidRDefault="000F0B67" w:rsidP="00D91CE2">
            <w:pPr>
              <w:ind w:right="362"/>
              <w:rPr>
                <w:rFonts w:eastAsia="Arial Unicode MS"/>
                <w:i/>
                <w:sz w:val="22"/>
                <w:lang w:val="id-ID"/>
              </w:rPr>
            </w:pPr>
            <w:r w:rsidRPr="00F33081">
              <w:t>German language</w:t>
            </w:r>
            <w:r w:rsidRPr="00C00B5B">
              <w:rPr>
                <w:rFonts w:eastAsia="Arial Unicode MS"/>
                <w:i/>
                <w:sz w:val="22"/>
                <w:lang w:val="id-ID"/>
              </w:rPr>
              <w:t xml:space="preserve"> </w:t>
            </w:r>
          </w:p>
          <w:p w14:paraId="5886B4EC" w14:textId="77777777" w:rsidR="00D91CE2" w:rsidRPr="007F286F" w:rsidRDefault="00D91CE2" w:rsidP="00941203">
            <w:pPr>
              <w:jc w:val="both"/>
              <w:rPr>
                <w:b/>
                <w:i/>
              </w:rPr>
            </w:pPr>
          </w:p>
        </w:tc>
        <w:tc>
          <w:tcPr>
            <w:tcW w:w="283" w:type="dxa"/>
            <w:vMerge/>
            <w:tcBorders>
              <w:top w:val="nil"/>
              <w:left w:val="nil"/>
              <w:bottom w:val="nil"/>
              <w:right w:val="nil"/>
            </w:tcBorders>
          </w:tcPr>
          <w:p w14:paraId="42D7A1CB" w14:textId="77777777" w:rsidR="00941203" w:rsidRDefault="00941203" w:rsidP="00957C11">
            <w:pPr>
              <w:spacing w:before="120"/>
              <w:jc w:val="both"/>
            </w:pPr>
          </w:p>
        </w:tc>
        <w:tc>
          <w:tcPr>
            <w:tcW w:w="5812" w:type="dxa"/>
            <w:vMerge/>
            <w:tcBorders>
              <w:top w:val="nil"/>
              <w:left w:val="nil"/>
              <w:bottom w:val="nil"/>
              <w:right w:val="nil"/>
            </w:tcBorders>
          </w:tcPr>
          <w:p w14:paraId="6566BD57" w14:textId="77777777" w:rsidR="00941203" w:rsidRPr="00957C11" w:rsidRDefault="00941203" w:rsidP="00957C11">
            <w:pPr>
              <w:spacing w:before="120"/>
              <w:jc w:val="both"/>
              <w:rPr>
                <w:iCs/>
                <w:color w:val="000000"/>
                <w:sz w:val="18"/>
                <w:szCs w:val="18"/>
              </w:rPr>
            </w:pPr>
          </w:p>
        </w:tc>
      </w:tr>
      <w:tr w:rsidR="00941203" w14:paraId="4061F66C" w14:textId="77777777" w:rsidTr="00C07BEF">
        <w:trPr>
          <w:trHeight w:val="70"/>
        </w:trPr>
        <w:tc>
          <w:tcPr>
            <w:tcW w:w="2802" w:type="dxa"/>
            <w:vMerge/>
            <w:tcBorders>
              <w:top w:val="single" w:sz="4" w:space="0" w:color="auto"/>
              <w:left w:val="nil"/>
              <w:bottom w:val="single" w:sz="4" w:space="0" w:color="auto"/>
              <w:right w:val="nil"/>
            </w:tcBorders>
          </w:tcPr>
          <w:p w14:paraId="45D51E4D"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1BF84A57" w14:textId="77777777" w:rsidR="00941203" w:rsidRDefault="00941203" w:rsidP="00957C11">
            <w:pPr>
              <w:spacing w:before="120"/>
              <w:jc w:val="both"/>
            </w:pPr>
          </w:p>
        </w:tc>
        <w:tc>
          <w:tcPr>
            <w:tcW w:w="5812" w:type="dxa"/>
            <w:tcBorders>
              <w:top w:val="nil"/>
              <w:left w:val="nil"/>
              <w:bottom w:val="single" w:sz="4" w:space="0" w:color="auto"/>
              <w:right w:val="nil"/>
            </w:tcBorders>
          </w:tcPr>
          <w:p w14:paraId="0DCA9ABC" w14:textId="77777777" w:rsidR="00AA66F1" w:rsidRDefault="00AA66F1" w:rsidP="00AA66F1">
            <w:pPr>
              <w:spacing w:before="120" w:after="120"/>
              <w:jc w:val="right"/>
              <w:rPr>
                <w:i/>
                <w:iCs/>
                <w:color w:val="000000"/>
                <w:sz w:val="18"/>
                <w:szCs w:val="18"/>
              </w:rPr>
            </w:pPr>
            <w:r>
              <w:rPr>
                <w:i/>
                <w:iCs/>
                <w:color w:val="000000"/>
                <w:sz w:val="18"/>
                <w:szCs w:val="18"/>
              </w:rPr>
              <w:t xml:space="preserve">This is an open access article under the </w:t>
            </w:r>
            <w:hyperlink r:id="rId9" w:history="1">
              <w:r>
                <w:rPr>
                  <w:rStyle w:val="Hyperlink"/>
                  <w:i/>
                  <w:iCs/>
                  <w:sz w:val="18"/>
                  <w:szCs w:val="18"/>
                </w:rPr>
                <w:t>CC BY-SA</w:t>
              </w:r>
            </w:hyperlink>
            <w:r>
              <w:rPr>
                <w:i/>
                <w:iCs/>
                <w:color w:val="000000"/>
                <w:sz w:val="18"/>
                <w:szCs w:val="18"/>
              </w:rPr>
              <w:t xml:space="preserve"> license.</w:t>
            </w:r>
          </w:p>
          <w:p w14:paraId="1F48A155" w14:textId="1E4BC321" w:rsidR="00941203" w:rsidRPr="00941203" w:rsidRDefault="00AA66F1" w:rsidP="00AA66F1">
            <w:pPr>
              <w:spacing w:before="120" w:after="120"/>
              <w:jc w:val="right"/>
              <w:rPr>
                <w:i/>
                <w:iCs/>
                <w:color w:val="000000"/>
                <w:sz w:val="18"/>
                <w:szCs w:val="18"/>
              </w:rPr>
            </w:pPr>
            <w:r>
              <w:rPr>
                <w:noProof/>
              </w:rPr>
              <w:drawing>
                <wp:inline distT="0" distB="0" distL="0" distR="0" wp14:anchorId="3AEC1411" wp14:editId="5810F9CB">
                  <wp:extent cx="1057910" cy="37465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910" cy="374650"/>
                          </a:xfrm>
                          <a:prstGeom prst="rect">
                            <a:avLst/>
                          </a:prstGeom>
                          <a:noFill/>
                          <a:ln>
                            <a:noFill/>
                          </a:ln>
                        </pic:spPr>
                      </pic:pic>
                    </a:graphicData>
                  </a:graphic>
                </wp:inline>
              </w:drawing>
            </w:r>
          </w:p>
        </w:tc>
      </w:tr>
      <w:tr w:rsidR="007F286F" w14:paraId="15207692" w14:textId="77777777" w:rsidTr="00C07BEF">
        <w:tc>
          <w:tcPr>
            <w:tcW w:w="8897" w:type="dxa"/>
            <w:gridSpan w:val="3"/>
            <w:tcBorders>
              <w:top w:val="nil"/>
              <w:left w:val="nil"/>
              <w:bottom w:val="double" w:sz="4" w:space="0" w:color="auto"/>
              <w:right w:val="nil"/>
            </w:tcBorders>
          </w:tcPr>
          <w:p w14:paraId="09375E16" w14:textId="77777777" w:rsidR="007F286F" w:rsidRPr="007F286F" w:rsidRDefault="007F286F" w:rsidP="00941203">
            <w:pPr>
              <w:spacing w:before="120" w:after="120"/>
              <w:rPr>
                <w:b/>
                <w:i/>
              </w:rPr>
            </w:pPr>
            <w:r w:rsidRPr="007F286F">
              <w:rPr>
                <w:b/>
                <w:i/>
              </w:rPr>
              <w:t>Corresponding Author:</w:t>
            </w:r>
          </w:p>
          <w:p w14:paraId="2C212518" w14:textId="1C365C18" w:rsidR="007F286F" w:rsidRPr="00810355" w:rsidRDefault="004F6BA1" w:rsidP="007F286F">
            <w:r w:rsidRPr="004F6BA1">
              <w:t xml:space="preserve">Samuel </w:t>
            </w:r>
            <w:proofErr w:type="spellStart"/>
            <w:r w:rsidRPr="004F6BA1">
              <w:t>Jusuf</w:t>
            </w:r>
            <w:proofErr w:type="spellEnd"/>
            <w:r w:rsidRPr="004F6BA1">
              <w:t xml:space="preserve"> </w:t>
            </w:r>
            <w:proofErr w:type="spellStart"/>
            <w:r w:rsidRPr="004F6BA1">
              <w:t>Litualy</w:t>
            </w:r>
            <w:proofErr w:type="spellEnd"/>
            <w:r w:rsidR="007F286F" w:rsidRPr="00810355">
              <w:t xml:space="preserve">, </w:t>
            </w:r>
          </w:p>
          <w:p w14:paraId="7DABD2F4" w14:textId="1EADD18A" w:rsidR="00810355" w:rsidRPr="00810355" w:rsidRDefault="00815E5A" w:rsidP="00810355">
            <w:r w:rsidRPr="00E140F7">
              <w:t>Department of German Language Education</w:t>
            </w:r>
            <w:r w:rsidR="00810355" w:rsidRPr="00810355">
              <w:t xml:space="preserve">, </w:t>
            </w:r>
          </w:p>
          <w:p w14:paraId="0D606C8C" w14:textId="77777777" w:rsidR="00810355" w:rsidRPr="00810355" w:rsidRDefault="00810355" w:rsidP="00810355">
            <w:r w:rsidRPr="00810355">
              <w:t xml:space="preserve">Faculty of Teacher Training and Education, </w:t>
            </w:r>
          </w:p>
          <w:p w14:paraId="0E117A74" w14:textId="4730EC35" w:rsidR="00810355" w:rsidRPr="00810355" w:rsidRDefault="00810355" w:rsidP="00810355">
            <w:proofErr w:type="spellStart"/>
            <w:r w:rsidRPr="00810355">
              <w:t>Pattimura</w:t>
            </w:r>
            <w:proofErr w:type="spellEnd"/>
            <w:r w:rsidRPr="00810355">
              <w:t xml:space="preserve"> University, Ambon, Indonesia</w:t>
            </w:r>
          </w:p>
          <w:p w14:paraId="6DC174A7" w14:textId="77777777" w:rsidR="00A01176" w:rsidRDefault="00810355" w:rsidP="00A01176">
            <w:r>
              <w:t xml:space="preserve">Jl. Ir. M. </w:t>
            </w:r>
            <w:proofErr w:type="spellStart"/>
            <w:r>
              <w:t>Putuhena</w:t>
            </w:r>
            <w:proofErr w:type="spellEnd"/>
            <w:r>
              <w:t xml:space="preserve">, Campus </w:t>
            </w:r>
            <w:proofErr w:type="spellStart"/>
            <w:r>
              <w:t>Poka</w:t>
            </w:r>
            <w:proofErr w:type="spellEnd"/>
            <w:r>
              <w:t>, Ambon, Maluku, Indonesia 97233</w:t>
            </w:r>
          </w:p>
          <w:p w14:paraId="0752F8D3" w14:textId="3AF877B0" w:rsidR="00941203" w:rsidRPr="00A01176" w:rsidRDefault="00941203" w:rsidP="00A01176">
            <w:r>
              <w:t xml:space="preserve">Email: </w:t>
            </w:r>
            <w:r w:rsidR="00815E5A">
              <w:t>litualysamuel01</w:t>
            </w:r>
            <w:r w:rsidR="00A01176">
              <w:t>@gmail.com</w:t>
            </w:r>
          </w:p>
        </w:tc>
      </w:tr>
    </w:tbl>
    <w:p w14:paraId="19717032" w14:textId="77777777" w:rsidR="00957C11" w:rsidRDefault="00957C11" w:rsidP="00957C11">
      <w:pPr>
        <w:jc w:val="both"/>
      </w:pPr>
    </w:p>
    <w:p w14:paraId="0492CE1A" w14:textId="77777777" w:rsidR="00F913D6" w:rsidRDefault="00F913D6" w:rsidP="00F913D6">
      <w:pPr>
        <w:jc w:val="both"/>
      </w:pPr>
    </w:p>
    <w:p w14:paraId="0EF97285" w14:textId="09CDE922" w:rsidR="00F913D6" w:rsidRDefault="00F913D6" w:rsidP="00F913D6">
      <w:pPr>
        <w:numPr>
          <w:ilvl w:val="0"/>
          <w:numId w:val="18"/>
        </w:numPr>
        <w:tabs>
          <w:tab w:val="left" w:pos="426"/>
        </w:tabs>
        <w:ind w:left="426" w:hanging="426"/>
        <w:rPr>
          <w:b/>
          <w:bCs/>
          <w:lang w:val="id-ID"/>
        </w:rPr>
      </w:pPr>
      <w:r>
        <w:rPr>
          <w:b/>
          <w:bCs/>
          <w:lang w:val="id-ID"/>
        </w:rPr>
        <w:t>INTRODUCTION</w:t>
      </w:r>
      <w:r w:rsidR="000A6A15">
        <w:rPr>
          <w:b/>
          <w:bCs/>
        </w:rPr>
        <w:t xml:space="preserve"> </w:t>
      </w:r>
    </w:p>
    <w:p w14:paraId="15350084" w14:textId="3D02FFF8" w:rsidR="00842F86" w:rsidRDefault="00842F86" w:rsidP="00842F86">
      <w:pPr>
        <w:ind w:firstLine="720"/>
        <w:jc w:val="both"/>
        <w:rPr>
          <w:lang w:bidi="he-IL"/>
        </w:rPr>
      </w:pPr>
      <w:r w:rsidRPr="00842F86">
        <w:rPr>
          <w:lang w:val="id-ID" w:bidi="he-IL"/>
        </w:rPr>
        <w:t xml:space="preserve">The digital era 4.0 has penetrated almost all human activities in this era, which is inevitable. On the contrary, it makes everyone race to master it </w:t>
      </w:r>
      <w:r w:rsidR="00B21231">
        <w:rPr>
          <w:lang w:val="id-ID" w:bidi="he-IL"/>
        </w:rPr>
        <w:fldChar w:fldCharType="begin" w:fldLock="1"/>
      </w:r>
      <w:r w:rsidR="00B21231">
        <w:rPr>
          <w:lang w:val="id-ID" w:bidi="he-IL"/>
        </w:rPr>
        <w:instrText>ADDIN CSL_CITATION {"citationItems":[{"id":"ITEM-1","itemData":{"DOI":"10.1080/16258312.2020.1757369","ISSN":"16246039","abstract":"This study explores the firm’s orientation in adopting Industry 4.0 and digital supply chain. Institutional theory and dynamic capabilities view theory are used to explain the theoretical framework. Further, it is tested, if any institutional pressure moderates the orientation relationship to Industry 4.0 adoption intention and digital supply chain. We collected the data from 256 respondents working in the Indian manufacturing firms to test the theoretical framework. The analysis of data indicates that in terms of institutional pressures, only coercive pressure moderates the relationship of exploration and exploitation orientation to the intentions of adopting Industry 4.0 and digital supply chain. The regulatory bodies and accreditation agencies demand the firms to be part of the digital economy and adopt advance systems to attain the sustainable goals under Industry 4.0 framework and components of digital supply chain. Practicing managers and firms can adopt findings of the study, to follow the adoption of Industry 4.0 in digital supply chain economy.","author":[{"dropping-particle":"","family":"Gupta","given":"Shivam","non-dropping-particle":"","parse-names":false,"suffix":""},{"dropping-particle":"","family":"Modgil","given":"Sachin","non-dropping-particle":"","parse-names":false,"suffix":""},{"dropping-particle":"","family":"Gunasekaran","given":"Angappa","non-dropping-particle":"","parse-names":false,"suffix":""},{"dropping-particle":"","family":"Bag","given":"Surajit","non-dropping-particle":"","parse-names":false,"suffix":""}],"container-title":"Supply Chain Forum","id":"ITEM-1","issue":"3","issued":{"date-parts":[["2020"]]},"page":"139-157","publisher":"Taylor &amp; Francis","title":"Dynamic capabilities and institutional theories for Industry 4.0 and digital supply chain","type":"article-journal","volume":"21"},"uris":["http://www.mendeley.com/documents/?uuid=d7ee7639-5b03-40dc-b619-13db2b8e0cb5"]}],"mendeley":{"formattedCitation":"[1]","plainTextFormattedCitation":"[1]","previouslyFormattedCitation":"[1]"},"properties":{"noteIndex":0},"schema":"https://github.com/citation-style-language/schema/raw/master/csl-citation.json"}</w:instrText>
      </w:r>
      <w:r w:rsidR="00B21231">
        <w:rPr>
          <w:lang w:val="id-ID" w:bidi="he-IL"/>
        </w:rPr>
        <w:fldChar w:fldCharType="separate"/>
      </w:r>
      <w:r w:rsidR="00B21231" w:rsidRPr="00B21231">
        <w:rPr>
          <w:noProof/>
          <w:lang w:val="id-ID" w:bidi="he-IL"/>
        </w:rPr>
        <w:t>[1]</w:t>
      </w:r>
      <w:r w:rsidR="00B21231">
        <w:rPr>
          <w:lang w:val="id-ID" w:bidi="he-IL"/>
        </w:rPr>
        <w:fldChar w:fldCharType="end"/>
      </w:r>
      <w:r w:rsidRPr="00842F86">
        <w:rPr>
          <w:lang w:val="id-ID" w:bidi="he-IL"/>
        </w:rPr>
        <w:t xml:space="preserve">. This development continues to demand the need to improve human resources quality </w:t>
      </w:r>
      <w:r w:rsidR="00B21231">
        <w:rPr>
          <w:lang w:val="id-ID" w:bidi="he-IL"/>
        </w:rPr>
        <w:fldChar w:fldCharType="begin" w:fldLock="1"/>
      </w:r>
      <w:r w:rsidR="00B21231">
        <w:rPr>
          <w:lang w:val="id-ID" w:bidi="he-IL"/>
        </w:rPr>
        <w:instrText>ADDIN CSL_CITATION {"citationItems":[{"id":"ITEM-1","itemData":{"DOI":"10.1080/2331186X.2020.1779506","ISSN":"2331186X","abstract":"Industrialization has transformed humans’ perspectives and morality. At the same time, government policies have urged students to become innovators. This study argues that these policies have caused demoralization among Indonesian students in the Revolution 4.0 era. It applies a descriptive qualitative approach, using observation, interviews, and reviews of formal and informal policies available online. It objectively illustrates how universities have transformed in response to government policy. As shown in previous studies, higher education processes have ignored morality as they have industrialized and strived for innovation. Educational institutions are unable to act autonomously, being limited by state interests. At the same time, they have failed to dynamically articulate the meaning of Industry 4.0, focusing solely on products and the workplace. Critique and reflection are necessary to imbue students with civility and integrity. Such a constructive response is necessary to curb the demoralization process that has occurred in the Industry 4.0 era.","author":[{"dropping-particle":"","family":"Pabbajah","given":"Mustaqim","non-dropping-particle":"","parse-names":false,"suffix":""},{"dropping-particle":"","family":"Abdullah","given":"Irwan","non-dropping-particle":"","parse-names":false,"suffix":""},{"dropping-particle":"","family":"Widyanti","given":"Ratri Nurina","non-dropping-particle":"","parse-names":false,"suffix":""},{"dropping-particle":"","family":"Jubba","given":"Hasse","non-dropping-particle":"","parse-names":false,"suffix":""},{"dropping-particle":"","family":"Alim","given":"Nur","non-dropping-particle":"","parse-names":false,"suffix":""}],"container-title":"Cogent Education","id":"ITEM-1","issue":"1","issued":{"date-parts":[["2020"]]},"page":"0-14","publisher":"Cogent","title":"Student demoralization in education:The industrialization of university curriculum in 4.0.Era Indonesia","type":"article-journal","volume":"7"},"uris":["http://www.mendeley.com/documents/?uuid=71bc0e2b-8513-47ca-bc30-dccd52a279e6"]}],"mendeley":{"formattedCitation":"[2]","plainTextFormattedCitation":"[2]","previouslyFormattedCitation":"[2]"},"properties":{"noteIndex":0},"schema":"https://github.com/citation-style-language/schema/raw/master/csl-citation.json"}</w:instrText>
      </w:r>
      <w:r w:rsidR="00B21231">
        <w:rPr>
          <w:lang w:val="id-ID" w:bidi="he-IL"/>
        </w:rPr>
        <w:fldChar w:fldCharType="separate"/>
      </w:r>
      <w:r w:rsidR="00B21231" w:rsidRPr="00B21231">
        <w:rPr>
          <w:noProof/>
          <w:lang w:val="id-ID" w:bidi="he-IL"/>
        </w:rPr>
        <w:t>[2]</w:t>
      </w:r>
      <w:r w:rsidR="00B21231">
        <w:rPr>
          <w:lang w:val="id-ID" w:bidi="he-IL"/>
        </w:rPr>
        <w:fldChar w:fldCharType="end"/>
      </w:r>
      <w:r w:rsidRPr="00842F86">
        <w:rPr>
          <w:lang w:val="id-ID" w:bidi="he-IL"/>
        </w:rPr>
        <w:t xml:space="preserve">. Improving the quality of German language students cannot be separated from the development of learning media, adequate, and quality teaching materials </w:t>
      </w:r>
      <w:r w:rsidR="00B21231">
        <w:rPr>
          <w:lang w:val="id-ID" w:bidi="he-IL"/>
        </w:rPr>
        <w:fldChar w:fldCharType="begin" w:fldLock="1"/>
      </w:r>
      <w:r w:rsidR="00B21231">
        <w:rPr>
          <w:lang w:val="id-ID" w:bidi="he-IL"/>
        </w:rPr>
        <w:instrText>ADDIN CSL_CITATION {"citationItems":[{"id":"ITEM-1","itemData":{"DOI":"10.1007/s40593-016-0108-x","ISSN":"15604306","abstract":"Advances in technology in recent years have changed the learning behaviors of learners and reshaped teaching methods. This had resulted in several challenges faced by current educational systems, such as an increased focus on informal learning, a growing gap of prior knowledge among students in classrooms and a mismatch between individual career choices and the development of the work force. This paper looks at these challenges with a view towards revolutionizing current learning environments to smart learning environments and provides new suggestions for technological solutions. Furthermore, this paper argues for a transformation from the current learning environments to smart learning environments. This is to be achieved by reengineering the fundamental structure and operations of current educational systems to better integrate these new technologies with the required pedagogical shift. The future perspectives of smart learning environments are reviewed and shared, through examples of emerging innovations such as the flipped classroom, game based learning, gesture based learning, along with pedagogical shifts, such as life-long learning portfolio maintenance, team teaching, and separation of learning and competency assessment.","author":[{"dropping-particle":"","family":"Kinshuk","given":"","non-dropping-particle":"","parse-names":false,"suffix":""},{"dropping-particle":"","family":"Chen","given":"Nian Shing","non-dropping-particle":"","parse-names":false,"suffix":""},{"dropping-particle":"","family":"Cheng","given":"I. Ling","non-dropping-particle":"","parse-names":false,"suffix":""},{"dropping-particle":"","family":"Chew","given":"Sie Wai","non-dropping-particle":"","parse-names":false,"suffix":""}],"container-title":"International Journal of Artificial Intelligence in Education","id":"ITEM-1","issue":"2","issued":{"date-parts":[["2016"]]},"page":"561-581","title":"Evolution Is not enough: Revolutionizing Current Learning Environments to Smart Learning Environments","type":"article-journal","volume":"26"},"uris":["http://www.mendeley.com/documents/?uuid=4a0f6d8b-7015-4881-afa4-d0c268784443"]}],"mendeley":{"formattedCitation":"[3]","plainTextFormattedCitation":"[3]","previouslyFormattedCitation":"[3]"},"properties":{"noteIndex":0},"schema":"https://github.com/citation-style-language/schema/raw/master/csl-citation.json"}</w:instrText>
      </w:r>
      <w:r w:rsidR="00B21231">
        <w:rPr>
          <w:lang w:val="id-ID" w:bidi="he-IL"/>
        </w:rPr>
        <w:fldChar w:fldCharType="separate"/>
      </w:r>
      <w:r w:rsidR="00B21231" w:rsidRPr="00B21231">
        <w:rPr>
          <w:noProof/>
          <w:lang w:val="id-ID" w:bidi="he-IL"/>
        </w:rPr>
        <w:t>[3]</w:t>
      </w:r>
      <w:r w:rsidR="00B21231">
        <w:rPr>
          <w:lang w:val="id-ID" w:bidi="he-IL"/>
        </w:rPr>
        <w:fldChar w:fldCharType="end"/>
      </w:r>
      <w:r w:rsidRPr="00842F86">
        <w:rPr>
          <w:lang w:val="id-ID" w:bidi="he-IL"/>
        </w:rPr>
        <w:t xml:space="preserve">. For a long time, German has been taught as a foreign language in Indonesia to high school / vocational high school students and university students. This shows how important it is to master German. With good mastery of German, students can be helped to broaden their thinking horizons and at the same time increase their knowledge </w:t>
      </w:r>
      <w:r w:rsidR="00B21231">
        <w:rPr>
          <w:lang w:val="id-ID" w:bidi="he-IL"/>
        </w:rPr>
        <w:fldChar w:fldCharType="begin" w:fldLock="1"/>
      </w:r>
      <w:r w:rsidR="00122EF5">
        <w:rPr>
          <w:lang w:val="id-ID" w:bidi="he-IL"/>
        </w:rPr>
        <w:instrText>ADDIN CSL_CITATION {"citationItems":[{"id":"ITEM-1","itemData":{"DOI":"10.1186/s40991-017-0021-0","ISSN":"2366-0066","abstract":"This paper provides a viewpoint of the culture and subcultures at Google Inc., which is a famous global company, and has a huge engineering staff and many talented leaders. Through its history of development, it has had positive impacts on society; however; there have been management challenges. The Board of Directors (BoDs) developed and implemented a way to measure the abilities of their managers, which helped to identify problems. This paper will analyze the case study of Harvard Business Review, Oxygen Project, and clarify the management problem in Google’s organization. It will also compare Google with Zappos, a much smaller organization, and present how the BoDs of Zappos assesses its culture and subcultures. In this paper, we will recommend eight important points to building an organizational culture that is positive for stable growth of a company. We believe that much of what be learned could be useful to other business leaders, regardless of company scale.","author":[{"dropping-particle":"","family":"Tran","given":"Sang Kim","non-dropping-particle":"","parse-names":false,"suffix":""}],"container-title":"International Journal of Corporate Social Responsibility","id":"ITEM-1","issue":"1","issued":{"date-parts":[["2017"]]},"publisher":"International Journal of Corporate Social Responsibility","title":"GOOGLE: a reflection of culture, leader, and management","type":"article-journal","volume":"2"},"uris":["http://www.mendeley.com/documents/?uuid=6d66c071-354b-4835-8569-5fdf67639110"]}],"mendeley":{"formattedCitation":"[4]","plainTextFormattedCitation":"[4]","previouslyFormattedCitation":"[4]"},"properties":{"noteIndex":0},"schema":"https://github.com/citation-style-language/schema/raw/master/csl-citation.json"}</w:instrText>
      </w:r>
      <w:r w:rsidR="00B21231">
        <w:rPr>
          <w:lang w:val="id-ID" w:bidi="he-IL"/>
        </w:rPr>
        <w:fldChar w:fldCharType="separate"/>
      </w:r>
      <w:r w:rsidR="00B21231" w:rsidRPr="00B21231">
        <w:rPr>
          <w:noProof/>
          <w:lang w:val="id-ID" w:bidi="he-IL"/>
        </w:rPr>
        <w:t>[4]</w:t>
      </w:r>
      <w:r w:rsidR="00B21231">
        <w:rPr>
          <w:lang w:val="id-ID" w:bidi="he-IL"/>
        </w:rPr>
        <w:fldChar w:fldCharType="end"/>
      </w:r>
      <w:r w:rsidRPr="00842F86">
        <w:rPr>
          <w:lang w:val="id-ID" w:bidi="he-IL"/>
        </w:rPr>
        <w:t>.</w:t>
      </w:r>
      <w:r w:rsidRPr="00842F86">
        <w:rPr>
          <w:lang w:bidi="he-IL"/>
        </w:rPr>
        <w:t xml:space="preserve"> </w:t>
      </w:r>
    </w:p>
    <w:p w14:paraId="1B155059" w14:textId="444A8F63" w:rsidR="00842F86" w:rsidRDefault="00AC7D98" w:rsidP="00842F86">
      <w:pPr>
        <w:ind w:firstLine="720"/>
        <w:jc w:val="both"/>
        <w:rPr>
          <w:color w:val="000000"/>
          <w:bdr w:val="none" w:sz="0" w:space="0" w:color="auto" w:frame="1"/>
        </w:rPr>
      </w:pPr>
      <w:r>
        <w:rPr>
          <w:lang w:bidi="he-IL"/>
        </w:rPr>
        <w:t>T</w:t>
      </w:r>
      <w:r w:rsidR="00842F86" w:rsidRPr="00842F86">
        <w:rPr>
          <w:lang w:bidi="he-IL"/>
        </w:rPr>
        <w:t xml:space="preserve">here are five benefits to why learning German is important. (1) German is an important language for trade because Germany is the leading exporting country in the world. It has a strong economy and is the most important industrial-trade partner for Indonesia in the European Union. In the last 10 years, German has become the regional </w:t>
      </w:r>
      <w:proofErr w:type="spellStart"/>
      <w:r w:rsidR="00842F86" w:rsidRPr="00842F86">
        <w:rPr>
          <w:lang w:bidi="he-IL"/>
        </w:rPr>
        <w:t>linguafranca</w:t>
      </w:r>
      <w:proofErr w:type="spellEnd"/>
      <w:r w:rsidR="00842F86" w:rsidRPr="00842F86">
        <w:rPr>
          <w:lang w:bidi="he-IL"/>
        </w:rPr>
        <w:t xml:space="preserve"> of Central and Eastern Europe. Cross-cultural skills are a vital qualification for a successful business today. German language proficiency helps students open up new markets and be successful in global business and the international labor market. (2) The position of the German language is vital in knowledge and literature. As the language of knowledge and technology, German plays an essential role in research and education. In the 19th century, German as the language of knowledge and literature occupied an important position in the world, ahead of French and, in a certain sense English. (3) As a cultural language, German can open students' intellectual horizons. German culture manifests itself in various forms, </w:t>
      </w:r>
      <w:r w:rsidR="00842F86" w:rsidRPr="00842F86">
        <w:rPr>
          <w:lang w:bidi="he-IL"/>
        </w:rPr>
        <w:lastRenderedPageBreak/>
        <w:t xml:space="preserve">such as literature and music, theater and film, architecture, painting, philosophy, and art </w:t>
      </w:r>
      <w:r w:rsidR="00122EF5">
        <w:rPr>
          <w:lang w:bidi="he-IL"/>
        </w:rPr>
        <w:fldChar w:fldCharType="begin" w:fldLock="1"/>
      </w:r>
      <w:r w:rsidR="00122EF5">
        <w:rPr>
          <w:lang w:bidi="he-IL"/>
        </w:rPr>
        <w:instrText>ADDIN CSL_CITATION {"citationItems":[{"id":"ITEM-1","itemData":{"DOI":"10.1080/03007766.2013.867671","ISBN":"9781571138347","ISSN":"0300-7766","abstract":"Accounts of how Germany has changed since unification often portray the Berlin Republic as a new Germany that has left the Nazi past and Cold War division behind and entered the new millennium as a peaceful, worldly, and cautiously proud nation. Closer inspection, however, reveals tensions between such views and the realities of a country that continues to struggle with racism, provincialism, and fear of the perceived Other. Mainstream media foster such fears by describing violence in ghetto schools, failed integration, and the loss of society's core values. The city emerges as a key site not only of ethnic and political tension but of social change. Maria Stehle illuminates these tensions and transformations by following the metaphor of the ghetto in literary works from the 1990s by Feridun Zaimoglu, in German ghettocentric films from the late 1990s and the early twenty-first century, and in hip-hop and rap music of the same periods. In their representations of ghettos, authors, filmmakers, musicians, and performers redefine and challenge provincialism and nationalism and employ transcultural frameworks for their diverging political agendas. By contextualizing these discussions within social and political developments, this study illuminates the complexities that define Germany today for scholars and students across the disciplines of German, European, cultural, urban, and media studies.","author":[{"dropping-particle":"","family":"Stehle","given":"Maria","non-dropping-particle":"","parse-names":false,"suffix":""}],"container-title":"Ghetto Voices in Contemporary German Culture: Textscapes, Filmscapes, Soundscapes","id":"ITEM-1","issue":"April 2015","issued":{"date-parts":[["2011"]]},"page":"1-201","title":"Ghetto voices in contemporary German culture: Textscapes, filmscapes, soundscapes","type":"article-journal"},"uris":["http://www.mendeley.com/documents/?uuid=30d3ef1f-d646-4f8a-83fd-bcede2166543"]}],"mendeley":{"formattedCitation":"[5]","plainTextFormattedCitation":"[5]","previouslyFormattedCitation":"[5]"},"properties":{"noteIndex":0},"schema":"https://github.com/citation-style-language/schema/raw/master/csl-citation.json"}</w:instrText>
      </w:r>
      <w:r w:rsidR="00122EF5">
        <w:rPr>
          <w:lang w:bidi="he-IL"/>
        </w:rPr>
        <w:fldChar w:fldCharType="separate"/>
      </w:r>
      <w:r w:rsidR="00122EF5" w:rsidRPr="00122EF5">
        <w:rPr>
          <w:noProof/>
          <w:lang w:bidi="he-IL"/>
        </w:rPr>
        <w:t>[5]</w:t>
      </w:r>
      <w:r w:rsidR="00122EF5">
        <w:rPr>
          <w:lang w:bidi="he-IL"/>
        </w:rPr>
        <w:fldChar w:fldCharType="end"/>
      </w:r>
      <w:r w:rsidR="00122EF5">
        <w:rPr>
          <w:lang w:bidi="he-IL"/>
        </w:rPr>
        <w:t xml:space="preserve">, </w:t>
      </w:r>
      <w:r w:rsidR="00122EF5">
        <w:rPr>
          <w:lang w:bidi="he-IL"/>
        </w:rPr>
        <w:fldChar w:fldCharType="begin" w:fldLock="1"/>
      </w:r>
      <w:r w:rsidR="00D95BB2">
        <w:rPr>
          <w:lang w:bidi="he-IL"/>
        </w:rPr>
        <w:instrText>ADDIN CSL_CITATION {"citationItems":[{"id":"ITEM-1","itemData":{"DOI":"10.1080/00787191.2020.1785676","ISSN":"17459214","author":[{"dropping-particle":"","family":"Roca Lizarazu","given":"Maria","non-dropping-particle":"","parse-names":false,"suffix":""},{"dropping-particle":"","family":"Twist","given":"Joseph","non-dropping-particle":"","parse-names":false,"suffix":""}],"container-title":"Oxford German Studies","id":"ITEM-1","issue":"2","issued":{"date-parts":[["2020"]]},"page":"103-116","publisher":"Taylor &amp; Francis","title":"Rethinking Community and Subjectivity in Contemporary German Culture and Thought","type":"article-journal","volume":"49"},"uris":["http://www.mendeley.com/documents/?uuid=bbe58155-06bf-425a-b11d-bcbcac6f8985"]}],"mendeley":{"formattedCitation":"[6]","plainTextFormattedCitation":"[6]","previouslyFormattedCitation":"[6]"},"properties":{"noteIndex":0},"schema":"https://github.com/citation-style-language/schema/raw/master/csl-citation.json"}</w:instrText>
      </w:r>
      <w:r w:rsidR="00122EF5">
        <w:rPr>
          <w:lang w:bidi="he-IL"/>
        </w:rPr>
        <w:fldChar w:fldCharType="separate"/>
      </w:r>
      <w:r w:rsidR="00122EF5" w:rsidRPr="00122EF5">
        <w:rPr>
          <w:noProof/>
          <w:lang w:bidi="he-IL"/>
        </w:rPr>
        <w:t>[6]</w:t>
      </w:r>
      <w:r w:rsidR="00122EF5">
        <w:rPr>
          <w:lang w:bidi="he-IL"/>
        </w:rPr>
        <w:fldChar w:fldCharType="end"/>
      </w:r>
      <w:r w:rsidR="00842F86" w:rsidRPr="00842F86">
        <w:rPr>
          <w:lang w:bidi="he-IL"/>
        </w:rPr>
        <w:t xml:space="preserve">. Knowledge of German allows students to know one of the great European cultures in its original form </w:t>
      </w:r>
      <w:r w:rsidR="00D95BB2">
        <w:rPr>
          <w:lang w:bidi="he-IL"/>
        </w:rPr>
        <w:fldChar w:fldCharType="begin" w:fldLock="1"/>
      </w:r>
      <w:r w:rsidR="001F6CA9">
        <w:rPr>
          <w:lang w:bidi="he-IL"/>
        </w:rPr>
        <w:instrText>ADDIN CSL_CITATION {"citationItems":[{"id":"ITEM-1","itemData":{"DOI":"10.1080/14782804.2020.1736383","ISSN":"1478-2804","author":[{"dropping-particle":"","family":"Hawes","given":"Derek","non-dropping-particle":"","parse-names":false,"suffix":""}],"container-title":"Journal of Contemporary European Studies","id":"ITEM-1","issue":"2","issued":{"date-parts":[["2020"]]},"page":"271-272","publisher":"Routledge","title":"Precarious Times: Temporality and History in Modern German Culture - Competing Germanies: Nazi, Antifascist and Jewish Theatre in German Argentina, 1933-1965","type":"article-journal","volume":"28"},"uris":["http://www.mendeley.com/documents/?uuid=9c4d5624-1800-425d-89d1-32b0f989c5fa"]}],"mendeley":{"formattedCitation":"[7]","plainTextFormattedCitation":"[7]","previouslyFormattedCitation":"[7]"},"properties":{"noteIndex":0},"schema":"https://github.com/citation-style-language/schema/raw/master/csl-citation.json"}</w:instrText>
      </w:r>
      <w:r w:rsidR="00D95BB2">
        <w:rPr>
          <w:lang w:bidi="he-IL"/>
        </w:rPr>
        <w:fldChar w:fldCharType="separate"/>
      </w:r>
      <w:r w:rsidR="00D95BB2" w:rsidRPr="00D95BB2">
        <w:rPr>
          <w:noProof/>
          <w:lang w:bidi="he-IL"/>
        </w:rPr>
        <w:t>[7]</w:t>
      </w:r>
      <w:r w:rsidR="00D95BB2">
        <w:rPr>
          <w:lang w:bidi="he-IL"/>
        </w:rPr>
        <w:fldChar w:fldCharType="end"/>
      </w:r>
      <w:r w:rsidR="00842F86" w:rsidRPr="00842F86">
        <w:rPr>
          <w:lang w:bidi="he-IL"/>
        </w:rPr>
        <w:t xml:space="preserve">. In the world of literature: Goethe, Schiller, Kafka, Grass; music world: Bach, Mozart, Beethoven, Wagner; in philosophy: Luther, Kant, Schopenhauer, Nietzsche; in the world of psychology: -Freud, Adler, Jung - or also in the world of research and knowledge: </w:t>
      </w:r>
      <w:proofErr w:type="spellStart"/>
      <w:r w:rsidR="00842F86" w:rsidRPr="00842F86">
        <w:rPr>
          <w:lang w:bidi="he-IL"/>
        </w:rPr>
        <w:t>Kepler</w:t>
      </w:r>
      <w:proofErr w:type="spellEnd"/>
      <w:r w:rsidR="00842F86" w:rsidRPr="00842F86">
        <w:rPr>
          <w:lang w:bidi="he-IL"/>
        </w:rPr>
        <w:t xml:space="preserve">, Einstein, </w:t>
      </w:r>
      <w:proofErr w:type="spellStart"/>
      <w:r w:rsidR="00842F86" w:rsidRPr="00842F86">
        <w:rPr>
          <w:lang w:bidi="he-IL"/>
        </w:rPr>
        <w:t>Röntgen</w:t>
      </w:r>
      <w:proofErr w:type="spellEnd"/>
      <w:r w:rsidR="00842F86" w:rsidRPr="00842F86">
        <w:rPr>
          <w:lang w:bidi="he-IL"/>
        </w:rPr>
        <w:t xml:space="preserve">, and Planck. German is the language of great thinkers. (4) German helps to open the door to the world for students to study at a German university. Although studying internationally in Germany allows students to study without knowledge of the German language, mastering German will undoubtedly benefit students if students master it. If international courses are not available, students will need to prove that students have sufficient German language skills before starting college. Therefore, mastery of the language will provide a wider choice of courses, and (5) German companies in Indonesia and foreign companies in Germany try to get experts with knowledge of the German language. Experts with knowledge of the German language have exciting training, study, and employment opportunities in the European Union </w:t>
      </w:r>
      <w:r w:rsidR="001F6CA9">
        <w:rPr>
          <w:lang w:bidi="he-IL"/>
        </w:rPr>
        <w:fldChar w:fldCharType="begin" w:fldLock="1"/>
      </w:r>
      <w:r w:rsidR="001F6CA9">
        <w:rPr>
          <w:lang w:bidi="he-IL"/>
        </w:rPr>
        <w:instrText>ADDIN CSL_CITATION {"citationItems":[{"id":"ITEM-1","itemData":{"DOI":"10.1080/02697459.2020.1829284","ISSN":"13600583","abstract":"This paper examines two leading questions of current German spatial-planning-research. The first question regards the significance of co-authorships in German-language spatial planning research, measuring the extent of interdisciplinarity and cooperation. Compared with other disciplines, stable co-authorships have less importance. The second question pertains to the role of theoretical bases in the journal articles: Large parts of publications in spatial-planning-journals have minimal theoretical foundations. Therefore, even as a practice orientated discipline, spatial planning research must improve the process of knowledge production, such as by building stable co-authorship-networks and a better theoretical foundation of its empirical work.","author":[{"dropping-particle":"","family":"Diller","given":"Christian","non-dropping-particle":"","parse-names":false,"suffix":""},{"dropping-particle":"","family":"Kohl","given":"Martin","non-dropping-particle":"","parse-names":false,"suffix":""},{"dropping-particle":"","family":"Thaler","given":"Thomas","non-dropping-particle":"","parse-names":false,"suffix":""}],"container-title":"Planning Practice and Research","id":"ITEM-1","issue":"00","issued":{"date-parts":[["2020"]]},"page":"1-16","publisher":"Routledge","title":"German-Language Spatial Planning Research between Theory and Practice","type":"article-journal","volume":"00"},"uris":["http://www.mendeley.com/documents/?uuid=03551e1b-1059-455d-a0ac-f829527e57c2"]}],"mendeley":{"formattedCitation":"[8]","plainTextFormattedCitation":"[8]","previouslyFormattedCitation":"[8]"},"properties":{"noteIndex":0},"schema":"https://github.com/citation-style-language/schema/raw/master/csl-citation.json"}</w:instrText>
      </w:r>
      <w:r w:rsidR="001F6CA9">
        <w:rPr>
          <w:lang w:bidi="he-IL"/>
        </w:rPr>
        <w:fldChar w:fldCharType="separate"/>
      </w:r>
      <w:r w:rsidR="001F6CA9" w:rsidRPr="001F6CA9">
        <w:rPr>
          <w:noProof/>
          <w:lang w:bidi="he-IL"/>
        </w:rPr>
        <w:t>[8]</w:t>
      </w:r>
      <w:r w:rsidR="001F6CA9">
        <w:rPr>
          <w:lang w:bidi="he-IL"/>
        </w:rPr>
        <w:fldChar w:fldCharType="end"/>
      </w:r>
      <w:r w:rsidR="00842F86" w:rsidRPr="00842F86">
        <w:rPr>
          <w:lang w:bidi="he-IL"/>
        </w:rPr>
        <w:t xml:space="preserve">. Besides, as a tourist destination, Indonesia is visited by many foreign tourists, such as from Germany, Austria, and Switzerland </w:t>
      </w:r>
      <w:r w:rsidR="001F6CA9">
        <w:rPr>
          <w:lang w:bidi="he-IL"/>
        </w:rPr>
        <w:fldChar w:fldCharType="begin" w:fldLock="1"/>
      </w:r>
      <w:r w:rsidR="00297002">
        <w:rPr>
          <w:lang w:bidi="he-IL"/>
        </w:rPr>
        <w:instrText>ADDIN CSL_CITATION {"citationItems":[{"id":"ITEM-1","itemData":{"DOI":"10.1080/10941665.2017.1374987","ISSN":"17416507","abstract":"The aim of this study is to explore the role of local and bule scholars (an Indonesian term for a white foreigner) in contributing to the international literature on tourism research about Indonesia. The conceptual underpinning of the study lies in the contemporary adaptation of Lewin’s force field theory for understanding behaviour. The researchers also consider insights from critical theory to evaluate the research. A thorough bibliometric approach for appraising tourism study at the national or regional destination scale is used to shape the data collection and coding process. The interpretation of the findings reveals a powerful bule paradox: local voices are rarely present in the English literature about Indonesian tourism. The researchers reflect on the forces shaping this state of affairs. Five positive possibilities (patronage, partnerships, professionalism, pathways, and patriotic pride) are suggested for ensuring that the muted local voices become more audible.","author":[{"dropping-particle":"","family":"Oktadiana","given":"Hera","non-dropping-particle":"","parse-names":false,"suffix":""},{"dropping-particle":"","family":"Pearce","given":"Philip L.","non-dropping-particle":"","parse-names":false,"suffix":""}],"container-title":"Asia Pacific Journal of Tourism Research","id":"ITEM-1","issue":"11","issued":{"date-parts":[["2017"]]},"page":"1099-1109","publisher":"Taylor &amp; Francis","title":"The “bule” paradox in Indonesian tourism research: issues and prospects","type":"article-journal","volume":"22"},"uris":["http://www.mendeley.com/documents/?uuid=fb0f17b6-fdc1-488d-a9cf-55c647001733"]}],"mendeley":{"formattedCitation":"[9]","plainTextFormattedCitation":"[9]","previouslyFormattedCitation":"[9]"},"properties":{"noteIndex":0},"schema":"https://github.com/citation-style-language/schema/raw/master/csl-citation.json"}</w:instrText>
      </w:r>
      <w:r w:rsidR="001F6CA9">
        <w:rPr>
          <w:lang w:bidi="he-IL"/>
        </w:rPr>
        <w:fldChar w:fldCharType="separate"/>
      </w:r>
      <w:r w:rsidR="001F6CA9" w:rsidRPr="001F6CA9">
        <w:rPr>
          <w:noProof/>
          <w:lang w:bidi="he-IL"/>
        </w:rPr>
        <w:t>[9]</w:t>
      </w:r>
      <w:r w:rsidR="001F6CA9">
        <w:rPr>
          <w:lang w:bidi="he-IL"/>
        </w:rPr>
        <w:fldChar w:fldCharType="end"/>
      </w:r>
      <w:r w:rsidR="00842F86" w:rsidRPr="00842F86">
        <w:rPr>
          <w:lang w:bidi="he-IL"/>
        </w:rPr>
        <w:t xml:space="preserve">. For those who work in the tourism industry, German language skills are a good investment </w:t>
      </w:r>
      <w:r w:rsidR="00297002">
        <w:rPr>
          <w:lang w:bidi="he-IL"/>
        </w:rPr>
        <w:fldChar w:fldCharType="begin" w:fldLock="1"/>
      </w:r>
      <w:r w:rsidR="00D04DDF">
        <w:rPr>
          <w:lang w:bidi="he-IL"/>
        </w:rPr>
        <w:instrText>ADDIN CSL_CITATION {"citationItems":[{"id":"ITEM-1","itemData":{"DOI":"10.1177/0261927X05281424","ISSN":"0261927X","abstract":"This article investigates attitude-mediated contact effects on language learners' motivational disposition by addressing the question as to whether increased intercultural contact through tourism will lead to enhanced language attitudes and language learning motivation. The analysis is based on empirical data gathered in a repeated cross-sectional survey of 8,593 13- and 14-year-old Hungarian pupils in a national sample, stratified according to regions and dwelling types whose contact parameters were specified through objective census data and expert panel judgments. The results reveal a curvilinear contact-attitude relationship, with the highest contact group / locality being associated with some of the lowest attitudinal and motivational measures. © 2005 Sage Publications.","author":[{"dropping-particle":"","family":"Dörnyei","given":"Zoltán","non-dropping-particle":"","parse-names":false,"suffix":""},{"dropping-particle":"","family":"Csizér","given":"Kata","non-dropping-particle":"","parse-names":false,"suffix":""}],"container-title":"Journal of Language and Social Psychology","id":"ITEM-1","issue":"4","issued":{"date-parts":[["2005"]]},"page":"327-357","title":"The effects of intercultural contact and tourism on language attitudes and language learning motivation","type":"article-journal","volume":"24"},"uris":["http://www.mendeley.com/documents/?uuid=fa4e6b3f-cf3e-4fbe-8ff8-72ab6efb5a4e"]}],"mendeley":{"formattedCitation":"[10]","plainTextFormattedCitation":"[10]","previouslyFormattedCitation":"[10]"},"properties":{"noteIndex":0},"schema":"https://github.com/citation-style-language/schema/raw/master/csl-citation.json"}</w:instrText>
      </w:r>
      <w:r w:rsidR="00297002">
        <w:rPr>
          <w:lang w:bidi="he-IL"/>
        </w:rPr>
        <w:fldChar w:fldCharType="separate"/>
      </w:r>
      <w:r w:rsidR="00297002" w:rsidRPr="00297002">
        <w:rPr>
          <w:noProof/>
          <w:lang w:bidi="he-IL"/>
        </w:rPr>
        <w:t>[10]</w:t>
      </w:r>
      <w:r w:rsidR="00297002">
        <w:rPr>
          <w:lang w:bidi="he-IL"/>
        </w:rPr>
        <w:fldChar w:fldCharType="end"/>
      </w:r>
      <w:r w:rsidR="00842F86" w:rsidRPr="00842F86">
        <w:rPr>
          <w:color w:val="000000"/>
          <w:bdr w:val="none" w:sz="0" w:space="0" w:color="auto" w:frame="1"/>
        </w:rPr>
        <w:t>.</w:t>
      </w:r>
    </w:p>
    <w:p w14:paraId="2B7C897A" w14:textId="52232FFA" w:rsidR="00407F13" w:rsidRDefault="00842F86" w:rsidP="00407F13">
      <w:pPr>
        <w:ind w:firstLine="720"/>
        <w:jc w:val="both"/>
        <w:rPr>
          <w:color w:val="C0504D" w:themeColor="accent2"/>
          <w:lang w:bidi="he-IL"/>
        </w:rPr>
      </w:pPr>
      <w:r w:rsidRPr="00842F86">
        <w:rPr>
          <w:lang w:bidi="he-IL"/>
        </w:rPr>
        <w:t>Mastering and using German is essential. However, the fact shows that German language students' learning outcomes, especially in the </w:t>
      </w:r>
      <w:proofErr w:type="spellStart"/>
      <w:r w:rsidRPr="00842F86">
        <w:rPr>
          <w:i/>
          <w:iCs/>
          <w:lang w:bidi="he-IL"/>
        </w:rPr>
        <w:t>Sprechfertigkeit</w:t>
      </w:r>
      <w:proofErr w:type="spellEnd"/>
      <w:r w:rsidRPr="00842F86">
        <w:rPr>
          <w:lang w:bidi="he-IL"/>
        </w:rPr>
        <w:t xml:space="preserve"> 2 course, are still low </w:t>
      </w:r>
      <w:r w:rsidR="00D04DDF">
        <w:rPr>
          <w:lang w:bidi="he-IL"/>
        </w:rPr>
        <w:fldChar w:fldCharType="begin" w:fldLock="1"/>
      </w:r>
      <w:r w:rsidR="00D04DDF">
        <w:rPr>
          <w:lang w:bidi="he-IL"/>
        </w:rPr>
        <w:instrText>ADDIN CSL_CITATION {"citationItems":[{"id":"ITEM-1","itemData":{"abstract":"This research ist a Quasi-Experimental research which only applied to one group without comparison group. It aims to prove whether the implementation of integrative teaching technique has influenced the speaking skill of the students in German Education Study Program of FKIP, Pattimura University. The research was held in the German Education Study Program of FKIP, Pattimura University in the second semester of 2014/2015 academic year. In this research, the dependence variable is \"the learning result of speaking skill\" and the independence variable is \"the integrative teaching technique.\" The population of this research was all the students in the German Education Study Program. Meanwhile the sample is the students of second semester in 2014/2015 academic year who attended the \"Sprechfertigkeit 2\" with total subject is 20 students. This research used one single group design with pre-test and post-test. The data analysis of this research used t-test. The result of the data analysis shows that the learning result t[subscript count] = 8.23 with the t[subscript table] in significance of a value is 0.05 and dk = 18 got t[subscript table] = 1.73. Those results shows that t[subscript count] &gt; t[subscript table] (t[subscript count] = 8.23 &gt; t[subscript table] = 1.73). Compare to the learning result of the speaking skill of the students in German Education Study Program who have been taught by integrative teaching technique with the learning result of the speaking skill of German students who have been taught without using Integrative Teaching Technique; the result shows that the learning result of the students' speaking skill who been taught using Integrative Teaching Technique was higher than the result of the students' speaking skill who been taught without using Integrative Teaching Technique.","author":[{"dropping-particle":"","family":"Litualy","given":"Samuel Jusuf","non-dropping-particle":"","parse-names":false,"suffix":""}],"container-title":"Journal of Education and Practice","id":"ITEM-1","issue":"9","issued":{"date-parts":[["2016"]]},"page":"56-61","title":"Integrative Teaching Techniques and Improvement of German Speaking Learning Skills","type":"article-journal","volume":"7"},"uris":["http://www.mendeley.com/documents/?uuid=c64c893d-69e1-4129-b2ed-560bdf627a6e"]}],"mendeley":{"formattedCitation":"[11]","plainTextFormattedCitation":"[11]","previouslyFormattedCitation":"[11]"},"properties":{"noteIndex":0},"schema":"https://github.com/citation-style-language/schema/raw/master/csl-citation.json"}</w:instrText>
      </w:r>
      <w:r w:rsidR="00D04DDF">
        <w:rPr>
          <w:lang w:bidi="he-IL"/>
        </w:rPr>
        <w:fldChar w:fldCharType="separate"/>
      </w:r>
      <w:r w:rsidR="00D04DDF" w:rsidRPr="00D04DDF">
        <w:rPr>
          <w:noProof/>
          <w:lang w:bidi="he-IL"/>
        </w:rPr>
        <w:t>[11]</w:t>
      </w:r>
      <w:r w:rsidR="00D04DDF">
        <w:rPr>
          <w:lang w:bidi="he-IL"/>
        </w:rPr>
        <w:fldChar w:fldCharType="end"/>
      </w:r>
      <w:r w:rsidRPr="00842F86">
        <w:rPr>
          <w:lang w:bidi="he-IL"/>
        </w:rPr>
        <w:t xml:space="preserve">. The reason is due to the unavailability of adequate learning media </w:t>
      </w:r>
      <w:r w:rsidR="00D04DDF">
        <w:rPr>
          <w:lang w:bidi="he-IL"/>
        </w:rPr>
        <w:fldChar w:fldCharType="begin" w:fldLock="1"/>
      </w:r>
      <w:r w:rsidR="00D04DDF">
        <w:rPr>
          <w:lang w:bidi="he-IL"/>
        </w:rPr>
        <w:instrText>ADDIN CSL_CITATION {"citationItems":[{"id":"ITEM-1","itemData":{"DOI":"10.1080/03057925.2018.1477579","ISSN":"14693623","abstract":"In recent years, China and Germany have become invaluable partners in business, politics, and science. However, psychological research indicates that the countries’ large-scale affinity does not translate onto the individual level, with many Germans expressing more reservations towards China than vice versa. Previous content analyses have connected this effect to imbalances in media tonality, as German media mostly criticise Chinese politics, contrasting with idealised portrayals from the other direction. Acknowledging the particularly high number of Chinese exchange students in Germany, we investigate mutual stereotypes (both explicit and implicit) in the context of a German university, while also exploring students’ perceptions of media tonality. Despite observing mostly positive explicit stereotypes, we find that both groups strongly prefer their country of origin on an implicit level, matching their generally sparse contact in university life. Based on our results, we discuss implications for students, educators, and decision-makers in the media.","author":[{"dropping-particle":"","family":"Stein","given":"Jan Philipp","non-dropping-particle":"","parse-names":false,"suffix":""},{"dropping-particle":"","family":"Lu","given":"Xiaomeng","non-dropping-particle":"","parse-names":false,"suffix":""},{"dropping-particle":"","family":"Ohler","given":"Peter","non-dropping-particle":"","parse-names":false,"suffix":""}],"container-title":"Compare","id":"ITEM-1","issue":"6","issued":{"date-parts":[["2019"]]},"page":"943-963","publisher":"Routledge","title":"Mutual perceptions of Chinese and German students at a German university: stereotypes, media influence, and evidence for a negative contact hypothesis","type":"article-journal","volume":"49"},"uris":["http://www.mendeley.com/documents/?uuid=4e8c223f-9912-42a7-bc3e-77dacfe4c4ab"]}],"mendeley":{"formattedCitation":"[12]","plainTextFormattedCitation":"[12]","previouslyFormattedCitation":"[12]"},"properties":{"noteIndex":0},"schema":"https://github.com/citation-style-language/schema/raw/master/csl-citation.json"}</w:instrText>
      </w:r>
      <w:r w:rsidR="00D04DDF">
        <w:rPr>
          <w:lang w:bidi="he-IL"/>
        </w:rPr>
        <w:fldChar w:fldCharType="separate"/>
      </w:r>
      <w:r w:rsidR="00D04DDF" w:rsidRPr="00D04DDF">
        <w:rPr>
          <w:noProof/>
          <w:lang w:bidi="he-IL"/>
        </w:rPr>
        <w:t>[12]</w:t>
      </w:r>
      <w:r w:rsidR="00D04DDF">
        <w:rPr>
          <w:lang w:bidi="he-IL"/>
        </w:rPr>
        <w:fldChar w:fldCharType="end"/>
      </w:r>
      <w:r w:rsidRPr="00842F86">
        <w:rPr>
          <w:lang w:bidi="he-IL"/>
        </w:rPr>
        <w:t xml:space="preserve">. For this reason, it is necessary to make improvements in order to increase the achievement of learning German through the application of adequate and appropriate learning media </w:t>
      </w:r>
      <w:r w:rsidR="00D04DDF">
        <w:rPr>
          <w:lang w:bidi="he-IL"/>
        </w:rPr>
        <w:fldChar w:fldCharType="begin" w:fldLock="1"/>
      </w:r>
      <w:r w:rsidR="00613232">
        <w:rPr>
          <w:lang w:bidi="he-IL"/>
        </w:rPr>
        <w:instrText>ADDIN CSL_CITATION {"citationItems":[{"id":"ITEM-1","itemData":{"DOI":"10.1080/09571736.2017.1382054","ISSN":"17532167","abstract":"The paper gives an overview of FLT in the German-speaking regions of Europe from medieval times to the present day, within a framework of language politics, communicative needs and educational ideologies. The languages addressed are French, Italian, Spanish, English, Russian and Turkish. Basic social and professional data of the various groups of teachers are provided. Formats of teaching discussed range from private tuition to state school curricula.","author":[{"dropping-particle":"","family":"Schröder","given":"Konrad","non-dropping-particle":"","parse-names":false,"suffix":""}],"container-title":"Language Learning Journal","id":"ITEM-1","issue":"1","issued":{"date-parts":[["2018"]]},"page":"28-39","publisher":"Taylor &amp; Francis","title":"Eight hundred years of modern language learning and teaching in the German-speaking countries of central Europe: a social history","type":"article-journal","volume":"46"},"uris":["http://www.mendeley.com/documents/?uuid=b282d444-a620-46ca-a94b-ee41da6095ee"]}],"mendeley":{"formattedCitation":"[13]","plainTextFormattedCitation":"[13]","previouslyFormattedCitation":"[13]"},"properties":{"noteIndex":0},"schema":"https://github.com/citation-style-language/schema/raw/master/csl-citation.json"}</w:instrText>
      </w:r>
      <w:r w:rsidR="00D04DDF">
        <w:rPr>
          <w:lang w:bidi="he-IL"/>
        </w:rPr>
        <w:fldChar w:fldCharType="separate"/>
      </w:r>
      <w:r w:rsidR="00D04DDF" w:rsidRPr="00D04DDF">
        <w:rPr>
          <w:noProof/>
          <w:lang w:bidi="he-IL"/>
        </w:rPr>
        <w:t>[13]</w:t>
      </w:r>
      <w:r w:rsidR="00D04DDF">
        <w:rPr>
          <w:lang w:bidi="he-IL"/>
        </w:rPr>
        <w:fldChar w:fldCharType="end"/>
      </w:r>
      <w:r w:rsidRPr="00842F86">
        <w:rPr>
          <w:lang w:bidi="he-IL"/>
        </w:rPr>
        <w:t>.</w:t>
      </w:r>
      <w:r w:rsidRPr="00842F86">
        <w:rPr>
          <w:color w:val="C0504D" w:themeColor="accent2"/>
          <w:lang w:val="id-ID" w:bidi="he-IL"/>
        </w:rPr>
        <w:t xml:space="preserve"> </w:t>
      </w:r>
    </w:p>
    <w:p w14:paraId="00BC009B" w14:textId="35A61625" w:rsidR="00842F86" w:rsidRDefault="00842F86" w:rsidP="00407F13">
      <w:pPr>
        <w:ind w:firstLine="720"/>
        <w:jc w:val="both"/>
      </w:pPr>
      <w:proofErr w:type="spellStart"/>
      <w:proofErr w:type="gramStart"/>
      <w:r w:rsidRPr="00842F86">
        <w:rPr>
          <w:i/>
          <w:lang w:bidi="he-IL"/>
        </w:rPr>
        <w:t>Kahoot</w:t>
      </w:r>
      <w:proofErr w:type="spellEnd"/>
      <w:r w:rsidRPr="00842F86">
        <w:rPr>
          <w:i/>
          <w:lang w:bidi="he-IL"/>
        </w:rPr>
        <w:t>!</w:t>
      </w:r>
      <w:r w:rsidRPr="00842F86">
        <w:rPr>
          <w:lang w:bidi="he-IL"/>
        </w:rPr>
        <w:t>'</w:t>
      </w:r>
      <w:proofErr w:type="gramEnd"/>
      <w:r w:rsidRPr="00842F86">
        <w:rPr>
          <w:lang w:bidi="he-IL"/>
        </w:rPr>
        <w:t xml:space="preserve">s educational game is a type of game-based learning, which is easy to create, share and play anywhere and anytime </w:t>
      </w:r>
      <w:r w:rsidR="00613232">
        <w:rPr>
          <w:lang w:bidi="he-IL"/>
        </w:rPr>
        <w:fldChar w:fldCharType="begin" w:fldLock="1"/>
      </w:r>
      <w:r w:rsidR="00613232">
        <w:rPr>
          <w:lang w:bidi="he-IL"/>
        </w:rPr>
        <w:instrText>ADDIN CSL_CITATION {"citationItems":[{"id":"ITEM-1","itemData":{"DOI":"10.1080/1475939X.2020.1737568","ISSN":"17475139","abstract":"Traditional lecture theatre environments present significant challenges in higher education, in light of increasingly large and diverse student populations. This small-scale study explores how blended learning through the game-based platform Kahoot! can be used to enhance the learning experience offered to students in these spaces, from the perspective of 44 final-year primary education undergraduates. An action research approach was employed with data collected from pre- and post-lecture surveys. Findings suggest that the integration of synchronous online learning in lecture theatres presented no technical difficulties and that gaming was successful in enabling active participation and interactive learning. Students valued its competitive nature, the immediacy of feedback on their knowledge and structured opportunities for further discussion. Students reported improvements in engagement, concentration and retention, although results for the latter were more ambiguous and would benefit from further investigation.","author":[{"dropping-particle":"","family":"Holbrey","given":"Christine Elizabeth","non-dropping-particle":"","parse-names":false,"suffix":""}],"container-title":"Technology, Pedagogy and Education","id":"ITEM-1","issue":"2","issued":{"date-parts":[["2020"]]},"page":"191-202","publisher":"Routledge","title":"Kahoot! Using a game-based approach to blended learning to support effective learning environments and student engagement in traditional lecture theatres","type":"article-journal","volume":"29"},"uris":["http://www.mendeley.com/documents/?uuid=f0f10656-6df2-4fe0-b97f-fbdf04d70234"]}],"mendeley":{"formattedCitation":"[14]","plainTextFormattedCitation":"[14]","previouslyFormattedCitation":"[14]"},"properties":{"noteIndex":0},"schema":"https://github.com/citation-style-language/schema/raw/master/csl-citation.json"}</w:instrText>
      </w:r>
      <w:r w:rsidR="00613232">
        <w:rPr>
          <w:lang w:bidi="he-IL"/>
        </w:rPr>
        <w:fldChar w:fldCharType="separate"/>
      </w:r>
      <w:r w:rsidR="00613232" w:rsidRPr="00613232">
        <w:rPr>
          <w:noProof/>
          <w:lang w:bidi="he-IL"/>
        </w:rPr>
        <w:t>[14]</w:t>
      </w:r>
      <w:r w:rsidR="00613232">
        <w:rPr>
          <w:lang w:bidi="he-IL"/>
        </w:rPr>
        <w:fldChar w:fldCharType="end"/>
      </w:r>
      <w:r w:rsidRPr="00842F86">
        <w:rPr>
          <w:lang w:bidi="he-IL"/>
        </w:rPr>
        <w:t xml:space="preserve">. The </w:t>
      </w:r>
      <w:proofErr w:type="spellStart"/>
      <w:r w:rsidRPr="00842F86">
        <w:rPr>
          <w:i/>
          <w:lang w:bidi="he-IL"/>
        </w:rPr>
        <w:t>Kahoot</w:t>
      </w:r>
      <w:proofErr w:type="spellEnd"/>
      <w:r w:rsidRPr="00842F86">
        <w:rPr>
          <w:i/>
          <w:lang w:bidi="he-IL"/>
        </w:rPr>
        <w:t>!</w:t>
      </w:r>
      <w:r w:rsidRPr="00842F86">
        <w:rPr>
          <w:lang w:bidi="he-IL"/>
        </w:rPr>
        <w:t xml:space="preserve"> </w:t>
      </w:r>
      <w:proofErr w:type="gramStart"/>
      <w:r w:rsidRPr="00842F86">
        <w:rPr>
          <w:lang w:bidi="he-IL"/>
        </w:rPr>
        <w:t>educational</w:t>
      </w:r>
      <w:proofErr w:type="gramEnd"/>
      <w:r w:rsidRPr="00842F86">
        <w:rPr>
          <w:lang w:bidi="he-IL"/>
        </w:rPr>
        <w:t xml:space="preserve"> game is an open learning technique. It can be played independently or played with other people (interactive). It is hoped that it can help students improve their mastery of </w:t>
      </w:r>
      <w:proofErr w:type="spellStart"/>
      <w:r w:rsidRPr="00842F86">
        <w:rPr>
          <w:i/>
          <w:iCs/>
          <w:lang w:bidi="he-IL"/>
        </w:rPr>
        <w:t>Strukturen</w:t>
      </w:r>
      <w:proofErr w:type="spellEnd"/>
      <w:r w:rsidRPr="00842F86">
        <w:rPr>
          <w:lang w:bidi="he-IL"/>
        </w:rPr>
        <w:t xml:space="preserve"> and their vocabulary in German </w:t>
      </w:r>
      <w:r w:rsidR="00613232">
        <w:rPr>
          <w:lang w:bidi="he-IL"/>
        </w:rPr>
        <w:fldChar w:fldCharType="begin" w:fldLock="1"/>
      </w:r>
      <w:r w:rsidR="007B341D">
        <w:rPr>
          <w:lang w:bidi="he-IL"/>
        </w:rPr>
        <w:instrText>ADDIN CSL_CITATION {"citationItems":[{"id":"ITEM-1","itemData":{"DOI":"10.1080/08832323.2019.1707752","ISSN":"19403356","abstract":"Instructional games in the classroom help to facilitate student engagement and utilize technology to help students prepare for exams. The purpose of this experiential learning exercise is to increase student engagement and understanding of course content using technology as a game in the classroom to increase exam scores. Human resource information systems is a technology course on human resources systems and tools that combine human recourses services, processes, and data for operational efficiencies. Human resource information systems include payroll, open position postings, applicant processing, benefits, training, timekeeping, succession planning, and performance management. Using Kahoot! as a trivia game review in the classroom allows students to develop a deeper understanding of vocabulary, course concepts, and provides immediate feedback. Kahoot! trivia games allow students to connect course topics and learning paths while pointing out learning gaps to instructors.","author":[{"dropping-particle":"","family":"Baszuk","given":"Patricia A.","non-dropping-particle":"","parse-names":false,"suffix":""},{"dropping-particle":"","family":"Heath","given":"Michele L.","non-dropping-particle":"","parse-names":false,"suffix":""}],"container-title":"Journal of Education for Business","id":"ITEM-1","issue":"8","issued":{"date-parts":[["2020"]]},"page":"548-552","publisher":"Routledge","title":"Using Kahoot! to increase exam scores and engagement","type":"article-journal","volume":"95"},"uris":["http://www.mendeley.com/documents/?uuid=a489ede2-bca7-4493-8418-844693743657"]}],"mendeley":{"formattedCitation":"[15]","plainTextFormattedCitation":"[15]","previouslyFormattedCitation":"[15]"},"properties":{"noteIndex":0},"schema":"https://github.com/citation-style-language/schema/raw/master/csl-citation.json"}</w:instrText>
      </w:r>
      <w:r w:rsidR="00613232">
        <w:rPr>
          <w:lang w:bidi="he-IL"/>
        </w:rPr>
        <w:fldChar w:fldCharType="separate"/>
      </w:r>
      <w:r w:rsidR="00613232" w:rsidRPr="00613232">
        <w:rPr>
          <w:noProof/>
          <w:lang w:bidi="he-IL"/>
        </w:rPr>
        <w:t>[15]</w:t>
      </w:r>
      <w:r w:rsidR="00613232">
        <w:rPr>
          <w:lang w:bidi="he-IL"/>
        </w:rPr>
        <w:fldChar w:fldCharType="end"/>
      </w:r>
      <w:r w:rsidRPr="00842F86">
        <w:rPr>
          <w:lang w:val="id-ID" w:bidi="he-IL"/>
        </w:rPr>
        <w:t xml:space="preserve">. </w:t>
      </w:r>
    </w:p>
    <w:p w14:paraId="3111CF6C" w14:textId="283144CB" w:rsidR="00842F86" w:rsidRDefault="00842F86" w:rsidP="00842F86">
      <w:pPr>
        <w:pStyle w:val="Style"/>
        <w:tabs>
          <w:tab w:val="left" w:pos="567"/>
          <w:tab w:val="left" w:pos="9598"/>
        </w:tabs>
        <w:ind w:right="28" w:firstLine="709"/>
        <w:jc w:val="both"/>
        <w:rPr>
          <w:rFonts w:ascii="Times New Roman" w:hAnsi="Times New Roman" w:cs="Times New Roman"/>
          <w:sz w:val="20"/>
          <w:szCs w:val="20"/>
        </w:rPr>
      </w:pPr>
      <w:r w:rsidRPr="00842F86">
        <w:rPr>
          <w:rFonts w:ascii="Times New Roman" w:hAnsi="Times New Roman" w:cs="Times New Roman"/>
          <w:sz w:val="20"/>
          <w:szCs w:val="20"/>
          <w:lang w:bidi="he-IL"/>
        </w:rPr>
        <w:t xml:space="preserve">In the </w:t>
      </w:r>
      <w:proofErr w:type="spellStart"/>
      <w:r w:rsidRPr="00842F86">
        <w:rPr>
          <w:rFonts w:ascii="Times New Roman" w:hAnsi="Times New Roman" w:cs="Times New Roman"/>
          <w:i/>
          <w:sz w:val="20"/>
          <w:szCs w:val="20"/>
          <w:lang w:bidi="he-IL"/>
        </w:rPr>
        <w:t>Kahoot</w:t>
      </w:r>
      <w:proofErr w:type="spellEnd"/>
      <w:r w:rsidRPr="00842F86">
        <w:rPr>
          <w:rFonts w:ascii="Times New Roman" w:hAnsi="Times New Roman" w:cs="Times New Roman"/>
          <w:i/>
          <w:sz w:val="20"/>
          <w:szCs w:val="20"/>
          <w:lang w:bidi="he-IL"/>
        </w:rPr>
        <w:t>!</w:t>
      </w:r>
      <w:r w:rsidRPr="00842F86">
        <w:rPr>
          <w:rFonts w:ascii="Times New Roman" w:hAnsi="Times New Roman" w:cs="Times New Roman"/>
          <w:sz w:val="20"/>
          <w:szCs w:val="20"/>
          <w:lang w:bidi="he-IL"/>
        </w:rPr>
        <w:t xml:space="preserve"> educational game application, students' full support is needed </w:t>
      </w:r>
      <w:r w:rsidR="007B341D">
        <w:rPr>
          <w:rFonts w:ascii="Times New Roman" w:hAnsi="Times New Roman" w:cs="Times New Roman"/>
          <w:sz w:val="20"/>
          <w:szCs w:val="20"/>
          <w:lang w:bidi="he-IL"/>
        </w:rPr>
        <w:fldChar w:fldCharType="begin" w:fldLock="1"/>
      </w:r>
      <w:r w:rsidR="008C1D68">
        <w:rPr>
          <w:rFonts w:ascii="Times New Roman" w:hAnsi="Times New Roman" w:cs="Times New Roman"/>
          <w:sz w:val="20"/>
          <w:szCs w:val="20"/>
          <w:lang w:bidi="he-IL"/>
        </w:rPr>
        <w:instrText>ADDIN CSL_CITATION {"citationItems":[{"id":"ITEM-1","itemData":{"DOI":"10.1016/j.compedu.2020.103818","ISSN":"03601315","abstract":"Kahoot! is a game-based learning platform used to review students' knowledge, for formative assessment or as a break from traditional classroom activities. It is among the most popular game-based learning platforms, with 70 million monthly active unique users and used by 50% of US K-12 students. Since the platform was released in 2013, many studies have been published on the effect of using Kahoot! in the classroom, but so far, no systematic analysis of the results. This article presents the results of a literature review on the effect of using Kahoot! for learning and, more specifically, on how Kahoot! affects learning performance, classroom dynamics, students' and teachers' attitudes and perceptions, and students' anxiety. The literature review includes 93 studies, and the main conclusion is that Kahoot! can have a positive effect on learning performance, classroom dynamics, students' and teachers' attitudes, and students’ anxiety. However, there are also studies where Kahoot! has little or no effect. The main challenges mentioned by students include technical problems such as unreliable internet connections, hard to read questions and answers on a projected screen, not being able to change answer after submission, stressful time-pressure for giving answers, not enough time to answer, afraid of losing, and hard to catch up if an incorrect answer had been given. Further, the main challenges mentioned by teachers include getting the difficulty level of questions and answers right, problems related to network connectivity, scoring based on how quickly the students answer reducing student reflection and cause some students to guess without thinking, that some students can have a problem with failing a quiz, and some teachers find it challenging to use the technology.","author":[{"dropping-particle":"","family":"Wang","given":"Alf Inge","non-dropping-particle":"","parse-names":false,"suffix":""},{"dropping-particle":"","family":"Tahir","given":"Rabail","non-dropping-particle":"","parse-names":false,"suffix":""}],"container-title":"Computers and Education","id":"ITEM-1","issue":"May 2019","issued":{"date-parts":[["2020"]]},"page":"103818","publisher":"Elsevier Ltd","title":"The effect of using Kahoot! for learning – A literature review","type":"article-journal","volume":"149"},"uris":["http://www.mendeley.com/documents/?uuid=4d2c25ac-ec8e-4a11-a6ff-11d3bd819ff5"]}],"mendeley":{"formattedCitation":"[16]","plainTextFormattedCitation":"[16]","previouslyFormattedCitation":"[16]"},"properties":{"noteIndex":0},"schema":"https://github.com/citation-style-language/schema/raw/master/csl-citation.json"}</w:instrText>
      </w:r>
      <w:r w:rsidR="007B341D">
        <w:rPr>
          <w:rFonts w:ascii="Times New Roman" w:hAnsi="Times New Roman" w:cs="Times New Roman"/>
          <w:sz w:val="20"/>
          <w:szCs w:val="20"/>
          <w:lang w:bidi="he-IL"/>
        </w:rPr>
        <w:fldChar w:fldCharType="separate"/>
      </w:r>
      <w:r w:rsidR="007B341D" w:rsidRPr="007B341D">
        <w:rPr>
          <w:rFonts w:ascii="Times New Roman" w:hAnsi="Times New Roman" w:cs="Times New Roman"/>
          <w:noProof/>
          <w:sz w:val="20"/>
          <w:szCs w:val="20"/>
          <w:lang w:bidi="he-IL"/>
        </w:rPr>
        <w:t>[16]</w:t>
      </w:r>
      <w:r w:rsidR="007B341D">
        <w:rPr>
          <w:rFonts w:ascii="Times New Roman" w:hAnsi="Times New Roman" w:cs="Times New Roman"/>
          <w:sz w:val="20"/>
          <w:szCs w:val="20"/>
          <w:lang w:bidi="he-IL"/>
        </w:rPr>
        <w:fldChar w:fldCharType="end"/>
      </w:r>
      <w:r w:rsidRPr="00842F86">
        <w:rPr>
          <w:rFonts w:ascii="Times New Roman" w:hAnsi="Times New Roman" w:cs="Times New Roman"/>
          <w:sz w:val="20"/>
          <w:szCs w:val="20"/>
          <w:lang w:bidi="he-IL"/>
        </w:rPr>
        <w:t xml:space="preserve">. Meanwhile, from the point of view of educators, it is expected to have high creativity and aggressiveness, especially in regulating, developing, and continuing to design new </w:t>
      </w:r>
      <w:proofErr w:type="spellStart"/>
      <w:r w:rsidRPr="00842F86">
        <w:rPr>
          <w:rFonts w:ascii="Times New Roman" w:hAnsi="Times New Roman" w:cs="Times New Roman"/>
          <w:i/>
          <w:sz w:val="20"/>
          <w:szCs w:val="20"/>
          <w:lang w:bidi="he-IL"/>
        </w:rPr>
        <w:t>Kahoot</w:t>
      </w:r>
      <w:proofErr w:type="spellEnd"/>
      <w:r w:rsidRPr="00842F86">
        <w:rPr>
          <w:rFonts w:ascii="Times New Roman" w:hAnsi="Times New Roman" w:cs="Times New Roman"/>
          <w:i/>
          <w:sz w:val="20"/>
          <w:szCs w:val="20"/>
          <w:lang w:bidi="he-IL"/>
        </w:rPr>
        <w:t>!</w:t>
      </w:r>
      <w:r w:rsidRPr="00842F86">
        <w:rPr>
          <w:rFonts w:ascii="Times New Roman" w:hAnsi="Times New Roman" w:cs="Times New Roman"/>
          <w:sz w:val="20"/>
          <w:szCs w:val="20"/>
          <w:lang w:bidi="he-IL"/>
        </w:rPr>
        <w:t xml:space="preserve"> game forms with the addition of </w:t>
      </w:r>
      <w:proofErr w:type="spellStart"/>
      <w:r w:rsidRPr="00842F86">
        <w:rPr>
          <w:rFonts w:ascii="Times New Roman" w:hAnsi="Times New Roman" w:cs="Times New Roman"/>
          <w:i/>
          <w:iCs/>
          <w:sz w:val="20"/>
          <w:szCs w:val="20"/>
          <w:lang w:bidi="he-IL"/>
        </w:rPr>
        <w:t>Strukturen</w:t>
      </w:r>
      <w:proofErr w:type="spellEnd"/>
      <w:r w:rsidRPr="00842F86">
        <w:rPr>
          <w:rFonts w:ascii="Times New Roman" w:hAnsi="Times New Roman" w:cs="Times New Roman"/>
          <w:sz w:val="20"/>
          <w:szCs w:val="20"/>
          <w:lang w:bidi="he-IL"/>
        </w:rPr>
        <w:t xml:space="preserve"> forms and new vocabulary, and regulating the course of the implementation of teaching and learning activities, so that the activity went on smoothly without a hitch </w:t>
      </w:r>
      <w:r w:rsidR="008C1D68">
        <w:rPr>
          <w:rFonts w:ascii="Times New Roman" w:hAnsi="Times New Roman" w:cs="Times New Roman"/>
          <w:sz w:val="20"/>
          <w:szCs w:val="20"/>
          <w:lang w:bidi="he-IL"/>
        </w:rPr>
        <w:fldChar w:fldCharType="begin" w:fldLock="1"/>
      </w:r>
      <w:r w:rsidR="00320E71">
        <w:rPr>
          <w:rFonts w:ascii="Times New Roman" w:hAnsi="Times New Roman" w:cs="Times New Roman"/>
          <w:sz w:val="20"/>
          <w:szCs w:val="20"/>
          <w:lang w:bidi="he-IL"/>
        </w:rPr>
        <w:instrText>ADDIN CSL_CITATION {"citationItems":[{"id":"ITEM-1","itemData":{"DOI":"10.1016/j.compedu.2019.02.015","ISSN":"03601315","abstract":"The purpose of the present study was to investigate the reflections of gamification activities that are used as a formative assessment tool based on academic achievement and student engagement in learning environments. It was also aimed to investigate whether the utilization of the gamification tool led to a difference in academic achievement and student engagement. Three research groups were determined; two experimental groups where 7E instructional model gamified with Kahoot and Quizizz was implemented and a control group where conventional 7E instruction method was implemented. The groups were determined by random assignment of 97 pre-service teachers who took scientific research methods course in the 2017–2018 academic year spring semester. However, since only 71 of the assigned pre-service teachers voluntarily participated in the study, the study data included 71 pre-service teachers. At the beginning and the end of the six-week-long instruction activities, the academic achievement test and student engagement scale on the content instructed in the six-week-long scientific research methods course were applied. Furthermore, in-depth views of pre-service teachers were obtained with focus group interviews. Therefore, the study was conducted with mixed design principles. The study findings demonstrated that the scientific research methods academic achievement x student engagement × group interaction model (Wilks's lambda = .819, F [2, 66] = 7.301, p &lt; 0.05) was significant. The activities gamified with Kahoot application, albeit statistically insignificant, had a more positive impact on academic achievement and student engagement when compared to the other groups. On the other hand, it was observed that the positive impact of the activities gamified with Quizizz application was lower than that of the instruction method utilized in the control group both based on academic achievement (Δx̄ pretest-posttestquizizz = 38.116, Δx̄ pretest-posttestcontrol = 38.776) and student engagement (Δx̄ pretest-posttestquizizz = 12.176, Δx̄ pretest-posttestcontrol = 14.218). Opposed to quantitative findings, pre-service teachers expressed views about the problems they experienced under the sub themes of motivation, reinforcement, entertainment, competition sub-themes in gamification activities and stated that they were generally positive about the activities and experienced problems related to the infrastructure and the tool.","author":[{"dropping-particle":"","family":"Orhan Göksün","given":"Derya","non-dropping-particle":"","parse-names":false,"suffix":""},{"dropping-particle":"","family":"Gürsoy","given":"Gülden","non-dropping-particle":"","parse-names":false,"suffix":""}],"container-title":"Computers and Education","id":"ITEM-1","issue":"October 2018","issued":{"date-parts":[["2019"]]},"page":"15-29","publisher":"Elsevier","title":"Comparing success and engagement in gamified learning experiences via Kahoot and Quizizz","type":"article-journal","volume":"135"},"uris":["http://www.mendeley.com/documents/?uuid=7e7702e2-681c-4aa7-9a22-4f58adad6708"]}],"mendeley":{"formattedCitation":"[17]","plainTextFormattedCitation":"[17]","previouslyFormattedCitation":"[17]"},"properties":{"noteIndex":0},"schema":"https://github.com/citation-style-language/schema/raw/master/csl-citation.json"}</w:instrText>
      </w:r>
      <w:r w:rsidR="008C1D68">
        <w:rPr>
          <w:rFonts w:ascii="Times New Roman" w:hAnsi="Times New Roman" w:cs="Times New Roman"/>
          <w:sz w:val="20"/>
          <w:szCs w:val="20"/>
          <w:lang w:bidi="he-IL"/>
        </w:rPr>
        <w:fldChar w:fldCharType="separate"/>
      </w:r>
      <w:r w:rsidR="008C1D68" w:rsidRPr="008C1D68">
        <w:rPr>
          <w:rFonts w:ascii="Times New Roman" w:hAnsi="Times New Roman" w:cs="Times New Roman"/>
          <w:noProof/>
          <w:sz w:val="20"/>
          <w:szCs w:val="20"/>
          <w:lang w:bidi="he-IL"/>
        </w:rPr>
        <w:t>[17]</w:t>
      </w:r>
      <w:r w:rsidR="008C1D68">
        <w:rPr>
          <w:rFonts w:ascii="Times New Roman" w:hAnsi="Times New Roman" w:cs="Times New Roman"/>
          <w:sz w:val="20"/>
          <w:szCs w:val="20"/>
          <w:lang w:bidi="he-IL"/>
        </w:rPr>
        <w:fldChar w:fldCharType="end"/>
      </w:r>
      <w:r w:rsidRPr="00842F86">
        <w:rPr>
          <w:rFonts w:ascii="Times New Roman" w:hAnsi="Times New Roman" w:cs="Times New Roman"/>
          <w:sz w:val="20"/>
          <w:szCs w:val="20"/>
          <w:lang w:bidi="he-IL"/>
        </w:rPr>
        <w:t xml:space="preserve">. In this situation, students are motivated to learn and are expected to support learning activities by providing energy, time, and thoughts and being ready to work together with fellow students in groups </w:t>
      </w:r>
      <w:r w:rsidR="00320E71">
        <w:rPr>
          <w:rFonts w:ascii="Times New Roman" w:hAnsi="Times New Roman" w:cs="Times New Roman"/>
          <w:sz w:val="20"/>
          <w:szCs w:val="20"/>
          <w:lang w:bidi="he-IL"/>
        </w:rPr>
        <w:fldChar w:fldCharType="begin" w:fldLock="1"/>
      </w:r>
      <w:r w:rsidR="00320E71">
        <w:rPr>
          <w:rFonts w:ascii="Times New Roman" w:hAnsi="Times New Roman" w:cs="Times New Roman"/>
          <w:sz w:val="20"/>
          <w:szCs w:val="20"/>
          <w:lang w:bidi="he-IL"/>
        </w:rPr>
        <w:instrText>ADDIN CSL_CITATION {"citationItems":[{"id":"ITEM-1","itemData":{"DOI":"10.1177/1046878119882048","ISSN":"1552826X","abstract":"Background.Keeping high school students engaged and motivated to learn complex scientific concepts can be difficult and challenging; this is especially true if the task feels daunting and unfamiliar to the students. Incorporating educational technology, such as KAHOOT, into the classroom can help students learn scientific material even when it is difficult. Aim. Our objective is to determine the effectiveness of gamification in an Advanced Placement Biology (AP biology) classroom by using the online game ‘KAHOOT!’ as a supplement to traditional teacher-centered learning. In addition, we determine the use of ‘KAHOOT!’ in enhancing student engagement and the learning experience for biology. Methods. A presentation on Transcription and Translation was given to a small group of high school AP Biology students (n = 18, 18 women). After the presentation, the students were given 15 questions and twenty seconds to answer each question in the ‘KAHOOT!’ game. Both the students and the teacher were given a post-activity survey to assess their interest in the activity. Results. Based on the responses in the Students’ Survey, ‘KAHOOT!’ can be used as a gamified assessment tool to help students learn the topic of ‘Transcription and Translation’ by actively engaging them in a fun and exciting manner. Conclusion. The overall activity had a positive impact on the students and teacher as the students enjoyed learning Transcription and Translation through the use of ‘KAHOOT!’.","author":[{"dropping-particle":"","family":"Jones","given":"Serena M.","non-dropping-particle":"","parse-names":false,"suffix":""},{"dropping-particle":"","family":"Katyal","given":"Priya","non-dropping-particle":"","parse-names":false,"suffix":""},{"dropping-particle":"","family":"Xie","given":"Xuan","non-dropping-particle":"","parse-names":false,"suffix":""},{"dropping-particle":"","family":"Nicolas","given":"Madeleine P.","non-dropping-particle":"","parse-names":false,"suffix":""},{"dropping-particle":"","family":"Leung","given":"Eric M.","non-dropping-particle":"","parse-names":false,"suffix":""},{"dropping-particle":"","family":"Noland","given":"Damon M.","non-dropping-particle":"","parse-names":false,"suffix":""},{"dropping-particle":"","family":"Montclare","given":"Jin Kim","non-dropping-particle":"","parse-names":false,"suffix":""}],"container-title":"Simulation and Gaming","id":"ITEM-1","issue":"6","issued":{"date-parts":[["2019"]]},"page":"832-847","title":"A ‘KAHOOT!’ Approach: The Effectiveness of Game-Based Learning for an Advanced Placement Biology Class","type":"article-journal","volume":"50"},"uris":["http://www.mendeley.com/documents/?uuid=9334361e-af1a-48e0-be2a-560a19840ee1"]}],"mendeley":{"formattedCitation":"[18]","plainTextFormattedCitation":"[18]","previouslyFormattedCitation":"[18]"},"properties":{"noteIndex":0},"schema":"https://github.com/citation-style-language/schema/raw/master/csl-citation.json"}</w:instrText>
      </w:r>
      <w:r w:rsidR="00320E71">
        <w:rPr>
          <w:rFonts w:ascii="Times New Roman" w:hAnsi="Times New Roman" w:cs="Times New Roman"/>
          <w:sz w:val="20"/>
          <w:szCs w:val="20"/>
          <w:lang w:bidi="he-IL"/>
        </w:rPr>
        <w:fldChar w:fldCharType="separate"/>
      </w:r>
      <w:r w:rsidR="00320E71" w:rsidRPr="00320E71">
        <w:rPr>
          <w:rFonts w:ascii="Times New Roman" w:hAnsi="Times New Roman" w:cs="Times New Roman"/>
          <w:noProof/>
          <w:sz w:val="20"/>
          <w:szCs w:val="20"/>
          <w:lang w:bidi="he-IL"/>
        </w:rPr>
        <w:t>[18]</w:t>
      </w:r>
      <w:r w:rsidR="00320E71">
        <w:rPr>
          <w:rFonts w:ascii="Times New Roman" w:hAnsi="Times New Roman" w:cs="Times New Roman"/>
          <w:sz w:val="20"/>
          <w:szCs w:val="20"/>
          <w:lang w:bidi="he-IL"/>
        </w:rPr>
        <w:fldChar w:fldCharType="end"/>
      </w:r>
      <w:r w:rsidRPr="00842F86">
        <w:rPr>
          <w:rFonts w:ascii="Times New Roman" w:hAnsi="Times New Roman" w:cs="Times New Roman"/>
          <w:sz w:val="20"/>
          <w:szCs w:val="20"/>
          <w:lang w:bidi="he-IL"/>
        </w:rPr>
        <w:t xml:space="preserve">. Based on the description above, the purpose of this study is to examine the effect of </w:t>
      </w:r>
      <w:proofErr w:type="spellStart"/>
      <w:r w:rsidRPr="00842F86">
        <w:rPr>
          <w:rFonts w:ascii="Times New Roman" w:hAnsi="Times New Roman" w:cs="Times New Roman"/>
          <w:i/>
          <w:sz w:val="20"/>
          <w:szCs w:val="20"/>
          <w:lang w:bidi="he-IL"/>
        </w:rPr>
        <w:t>Kahoot</w:t>
      </w:r>
      <w:proofErr w:type="spellEnd"/>
      <w:r w:rsidRPr="00842F86">
        <w:rPr>
          <w:rFonts w:ascii="Times New Roman" w:hAnsi="Times New Roman" w:cs="Times New Roman"/>
          <w:i/>
          <w:sz w:val="20"/>
          <w:szCs w:val="20"/>
          <w:lang w:bidi="he-IL"/>
        </w:rPr>
        <w:t>!</w:t>
      </w:r>
      <w:r w:rsidRPr="00842F86">
        <w:rPr>
          <w:rFonts w:ascii="Times New Roman" w:hAnsi="Times New Roman" w:cs="Times New Roman"/>
          <w:sz w:val="20"/>
          <w:szCs w:val="20"/>
          <w:lang w:bidi="he-IL"/>
        </w:rPr>
        <w:t xml:space="preserve"> </w:t>
      </w:r>
      <w:proofErr w:type="gramStart"/>
      <w:r w:rsidRPr="00842F86">
        <w:rPr>
          <w:rFonts w:ascii="Times New Roman" w:hAnsi="Times New Roman" w:cs="Times New Roman"/>
          <w:sz w:val="20"/>
          <w:szCs w:val="20"/>
          <w:lang w:bidi="he-IL"/>
        </w:rPr>
        <w:t>educational</w:t>
      </w:r>
      <w:proofErr w:type="gramEnd"/>
      <w:r w:rsidRPr="00842F86">
        <w:rPr>
          <w:rFonts w:ascii="Times New Roman" w:hAnsi="Times New Roman" w:cs="Times New Roman"/>
          <w:sz w:val="20"/>
          <w:szCs w:val="20"/>
          <w:lang w:bidi="he-IL"/>
        </w:rPr>
        <w:t xml:space="preserve"> games learning media on learning outcomes </w:t>
      </w:r>
      <w:proofErr w:type="spellStart"/>
      <w:r w:rsidRPr="00842F86">
        <w:rPr>
          <w:rFonts w:ascii="Times New Roman" w:hAnsi="Times New Roman" w:cs="Times New Roman"/>
          <w:i/>
          <w:iCs/>
          <w:sz w:val="20"/>
          <w:szCs w:val="20"/>
          <w:lang w:bidi="he-IL"/>
        </w:rPr>
        <w:t>Sprechfertigkeit</w:t>
      </w:r>
      <w:proofErr w:type="spellEnd"/>
      <w:r w:rsidRPr="00842F86">
        <w:rPr>
          <w:rFonts w:ascii="Times New Roman" w:hAnsi="Times New Roman" w:cs="Times New Roman"/>
          <w:sz w:val="20"/>
          <w:szCs w:val="20"/>
          <w:lang w:bidi="he-IL"/>
        </w:rPr>
        <w:t> 2 in German language students.</w:t>
      </w:r>
      <w:r w:rsidRPr="00842F86">
        <w:rPr>
          <w:rFonts w:ascii="Times New Roman" w:hAnsi="Times New Roman" w:cs="Times New Roman"/>
          <w:sz w:val="20"/>
          <w:szCs w:val="20"/>
        </w:rPr>
        <w:t xml:space="preserve"> </w:t>
      </w:r>
    </w:p>
    <w:p w14:paraId="0BA52C20" w14:textId="77777777" w:rsidR="00842F86" w:rsidRDefault="00842F86" w:rsidP="00842F86">
      <w:pPr>
        <w:pStyle w:val="Style"/>
        <w:tabs>
          <w:tab w:val="left" w:pos="567"/>
          <w:tab w:val="left" w:pos="9598"/>
        </w:tabs>
        <w:ind w:right="28" w:firstLine="709"/>
        <w:jc w:val="both"/>
        <w:rPr>
          <w:rFonts w:ascii="Times New Roman" w:hAnsi="Times New Roman" w:cs="Times New Roman"/>
          <w:sz w:val="20"/>
          <w:szCs w:val="20"/>
        </w:rPr>
      </w:pPr>
    </w:p>
    <w:p w14:paraId="6F5671D2" w14:textId="4CB82C38" w:rsidR="00842F86" w:rsidRPr="00842F86" w:rsidRDefault="00842F86" w:rsidP="00842F86">
      <w:pPr>
        <w:pStyle w:val="ListParagraph"/>
        <w:numPr>
          <w:ilvl w:val="0"/>
          <w:numId w:val="18"/>
        </w:numPr>
        <w:ind w:left="426" w:hanging="426"/>
        <w:rPr>
          <w:rFonts w:ascii="Times New Roman" w:hAnsi="Times New Roman"/>
          <w:b/>
          <w:sz w:val="20"/>
          <w:szCs w:val="20"/>
        </w:rPr>
      </w:pPr>
      <w:r w:rsidRPr="00842F86">
        <w:rPr>
          <w:rFonts w:ascii="Times New Roman" w:hAnsi="Times New Roman"/>
          <w:b/>
          <w:sz w:val="20"/>
          <w:szCs w:val="20"/>
        </w:rPr>
        <w:t>LITERATURE REVIEW</w:t>
      </w:r>
    </w:p>
    <w:p w14:paraId="62596844" w14:textId="3B3706CA" w:rsidR="00842F86" w:rsidRPr="00842F86" w:rsidRDefault="00842F86" w:rsidP="006E1168">
      <w:pPr>
        <w:pStyle w:val="ListParagraph"/>
        <w:numPr>
          <w:ilvl w:val="1"/>
          <w:numId w:val="18"/>
        </w:numPr>
        <w:spacing w:after="0"/>
        <w:ind w:left="426" w:hanging="426"/>
        <w:rPr>
          <w:rFonts w:ascii="Times New Roman" w:hAnsi="Times New Roman"/>
          <w:b/>
          <w:sz w:val="20"/>
          <w:szCs w:val="20"/>
        </w:rPr>
      </w:pPr>
      <w:proofErr w:type="spellStart"/>
      <w:r w:rsidRPr="00842F86">
        <w:rPr>
          <w:rFonts w:ascii="Times New Roman" w:hAnsi="Times New Roman"/>
          <w:b/>
          <w:sz w:val="20"/>
          <w:szCs w:val="20"/>
        </w:rPr>
        <w:t>Sprechfertigkeit</w:t>
      </w:r>
      <w:proofErr w:type="spellEnd"/>
      <w:r w:rsidRPr="00842F86">
        <w:rPr>
          <w:rFonts w:ascii="Times New Roman" w:hAnsi="Times New Roman"/>
          <w:b/>
          <w:sz w:val="20"/>
          <w:szCs w:val="20"/>
        </w:rPr>
        <w:t xml:space="preserve"> Learning Outcomes</w:t>
      </w:r>
    </w:p>
    <w:p w14:paraId="6CB48FDB" w14:textId="4C3DF7F0" w:rsidR="00842F86" w:rsidRDefault="00842F86" w:rsidP="006E1168">
      <w:pPr>
        <w:ind w:firstLine="709"/>
        <w:jc w:val="both"/>
      </w:pPr>
      <w:r w:rsidRPr="00842F86">
        <w:t>Learning outcomes cannot be separated from learning activities which are a process. Meanwhile, the achievement is the result of the learning process. If someone has learned, there will be a change in behavior in that person, for example, from not knowing to know and from not understanding to und</w:t>
      </w:r>
      <w:r w:rsidR="00320E71">
        <w:t xml:space="preserve">erstanding </w:t>
      </w:r>
      <w:r w:rsidR="00320E71">
        <w:fldChar w:fldCharType="begin" w:fldLock="1"/>
      </w:r>
      <w:r w:rsidR="000B1F22">
        <w:instrText>ADDIN CSL_CITATION {"citationItems":[{"id":"ITEM-1","itemData":{"DOI":"10.1080/13562517.2014.901964","ISSN":"14701294","abstract":"Despite an extensive literature on how to frame learning outcomes, to date, limited attention has been given to understanding whether and how students actually use them. This study employed a questionnaire survey and focus groups with students in three disciplines at the University of Leicester to explore students' perceptions and use of learning outcomes. The findings suggest that the majority of students find learning outcomes useful and use them to support their studies in various ways. However, the data also indicate that some students struggle to understand from their learning outcomes the level of learning required to cover their topic area or to pass assessments. Additionally, certain respondents reported that learning outcomes can restrict or overfragment their knowledge. Whilst many students wanted learning outcomes to remain a central part of their learning experience, the findings suggest further work is required to establish more effective use of learning outcomes as a learning resource. © 2014 © 2014 Taylor &amp; Francis.","author":[{"dropping-particle":"","family":"Brooks","given":"Sara","non-dropping-particle":"","parse-names":false,"suffix":""},{"dropping-particle":"","family":"Dobbins","given":"Kerry","non-dropping-particle":"","parse-names":false,"suffix":""},{"dropping-particle":"","family":"Scott","given":"Jon J.A.","non-dropping-particle":"","parse-names":false,"suffix":""},{"dropping-particle":"","family":"Rawlinson","given":"Mark","non-dropping-particle":"","parse-names":false,"suffix":""},{"dropping-particle":"","family":"Norman","given":"Robert I.","non-dropping-particle":"","parse-names":false,"suffix":""}],"container-title":"Teaching in Higher Education","id":"ITEM-1","issue":"6","issued":{"date-parts":[["2014"]]},"page":"721-733","title":"Learning about learning outcomes: The student perspective","type":"article-journal","volume":"19"},"uris":["http://www.mendeley.com/documents/?uuid=6da7e52b-0810-4b35-9b8c-2b7d8145baa1"]}],"mendeley":{"formattedCitation":"[19]","plainTextFormattedCitation":"[19]","previouslyFormattedCitation":"[19]"},"properties":{"noteIndex":0},"schema":"https://github.com/citation-style-language/schema/raw/master/csl-citation.json"}</w:instrText>
      </w:r>
      <w:r w:rsidR="00320E71">
        <w:fldChar w:fldCharType="separate"/>
      </w:r>
      <w:r w:rsidR="00320E71" w:rsidRPr="00320E71">
        <w:rPr>
          <w:noProof/>
        </w:rPr>
        <w:t>[19]</w:t>
      </w:r>
      <w:r w:rsidR="00320E71">
        <w:fldChar w:fldCharType="end"/>
      </w:r>
      <w:r w:rsidRPr="00842F86">
        <w:t>. Learning outcomes are abilities that students have due to learning and can be observed through student performance</w:t>
      </w:r>
      <w:r w:rsidR="000B1F22">
        <w:t xml:space="preserve"> </w:t>
      </w:r>
      <w:r w:rsidR="000B1F22">
        <w:fldChar w:fldCharType="begin" w:fldLock="1"/>
      </w:r>
      <w:r w:rsidR="000B1F22">
        <w:instrText>ADDIN CSL_CITATION {"citationItems":[{"id":"ITEM-1","itemData":{"DOI":"10.1080/03075079.2014.966668","author":[{"dropping-particle":"","family":"Dobbins","given":"Kerry","non-dropping-particle":"","parse-names":false,"suffix":""},{"dropping-particle":"","family":"Brooks","given":"Sara","non-dropping-particle":"","parse-names":false,"suffix":""},{"dropping-particle":"","family":"Scott","given":"Jon J A","non-dropping-particle":"","parse-names":false,"suffix":""},{"dropping-particle":"","family":"Rawlinson","given":"Mark","non-dropping-particle":"","parse-names":false,"suffix":""},{"dropping-particle":"","family":"Robert","given":"I","non-dropping-particle":"","parse-names":false,"suffix":""},{"dropping-particle":"","family":"Dobbins","given":"Kerry","non-dropping-particle":"","parse-names":false,"suffix":""},{"dropping-particle":"","family":"Brooks","given":"Sara","non-dropping-particle":"","parse-names":false,"suffix":""},{"dropping-particle":"","family":"Scott","given":"Jon J A","non-dropping-particle":"","parse-names":false,"suffix":""},{"dropping-particle":"","family":"Rawlinson","given":"Mark","non-dropping-particle":"","parse-names":false,"suffix":""},{"dropping-particle":"","family":"Robert","given":"I","non-dropping-particle":"","parse-names":false,"suffix":""}],"id":"ITEM-1","issue":"April","issued":{"date-parts":[["2016"]]},"title":"Studies in Higher Education Understanding and enacting learning outcomes : the academic ' s perspective","type":"article-journal","volume":"5079"},"uris":["http://www.mendeley.com/documents/?uuid=143c68b9-4554-4674-9f3a-0a2a97d462a6"]}],"mendeley":{"formattedCitation":"[20]","plainTextFormattedCitation":"[20]","previouslyFormattedCitation":"[20]"},"properties":{"noteIndex":0},"schema":"https://github.com/citation-style-language/schema/raw/master/csl-citation.json"}</w:instrText>
      </w:r>
      <w:r w:rsidR="000B1F22">
        <w:fldChar w:fldCharType="separate"/>
      </w:r>
      <w:r w:rsidR="000B1F22" w:rsidRPr="000B1F22">
        <w:rPr>
          <w:noProof/>
        </w:rPr>
        <w:t>[20]</w:t>
      </w:r>
      <w:r w:rsidR="000B1F22">
        <w:fldChar w:fldCharType="end"/>
      </w:r>
      <w:r w:rsidRPr="00842F86">
        <w:t xml:space="preserve">. Learning outcomes as changes that occur in individuals who learn change knowledge and knowledge to form skills, habits, attitudes, understanding, mastery, and appreciation of individuals who learn </w:t>
      </w:r>
      <w:r w:rsidR="000B1F22">
        <w:fldChar w:fldCharType="begin" w:fldLock="1"/>
      </w:r>
      <w:r w:rsidR="005C25EE">
        <w:instrText>ADDIN CSL_CITATION {"citationItems":[{"id":"ITEM-1","itemData":{"DOI":"10.1080/13639080.2012.687573","ISSN":"13639080","abstract":"This paper gives a critical assessment of the relationship between learning outcomes and the governance of education and training systems. Learning outcomes are defined as an instrument that might work at different levels with different meanings and different results: at the level of education and training practice, they might obtain pedagogical results, at the level of policy-making they might contribute to the governance of education and training. However, the ways in which governance impacts on pedagogy is called into question; in particular the argument challenges the assumption of a straightforward and successful 'top-down'-relationship between governance and pedagogy. First, an assessment is undertaken into supportive and critical expectations about learning outcomes: of what they should achieve and of what is deemed necessary to make them work on the one hand and of detrimental effects they might have, on the other. Second, a framework for the analysis of the impact of learning outcomes is proposed; this brings some approaches from the literature together in a systematic fashion and is also used to interpret some developments of the use of learning outcomes in Austria and in other countries. As a result, we conclude that most expectations of the learning outcomes approach are overstated, as are critiques. Evidence shows that there might be pedagogical benefits of learning outcomes if they are properly implemented; however, they appear too weak as an instrument to bring about the desired results as a governance device. They might successfully change policies, however, without having the desired impact on education and training practice. © 2012 Copyright Taylor and Francis Group, LLC.","author":[{"dropping-particle":"","family":"Lassnigg","given":"L.","non-dropping-particle":"","parse-names":false,"suffix":""}],"container-title":"Journal of Education and Work","id":"ITEM-1","issue":"3","issued":{"date-parts":[["2012"]]},"page":"299-330","title":"'Lost in translation': Learning outcomes and the governance of education","type":"article-journal","volume":"25"},"uris":["http://www.mendeley.com/documents/?uuid=a5781aa1-e18c-4b41-9d9b-86c99f8811c7"]}],"mendeley":{"formattedCitation":"[21]","plainTextFormattedCitation":"[21]","previouslyFormattedCitation":"[21]"},"properties":{"noteIndex":0},"schema":"https://github.com/citation-style-language/schema/raw/master/csl-citation.json"}</w:instrText>
      </w:r>
      <w:r w:rsidR="000B1F22">
        <w:fldChar w:fldCharType="separate"/>
      </w:r>
      <w:r w:rsidR="000B1F22" w:rsidRPr="000B1F22">
        <w:rPr>
          <w:noProof/>
        </w:rPr>
        <w:t>[21]</w:t>
      </w:r>
      <w:r w:rsidR="000B1F22">
        <w:fldChar w:fldCharType="end"/>
      </w:r>
      <w:r w:rsidRPr="00842F86">
        <w:t xml:space="preserve">. Learning outcomes are abilities that students do after receiving their learning experiences </w:t>
      </w:r>
      <w:r w:rsidR="005C25EE">
        <w:fldChar w:fldCharType="begin" w:fldLock="1"/>
      </w:r>
      <w:r w:rsidR="00E3225C">
        <w:instrText>ADDIN CSL_CITATION {"citationItems":[{"id":"ITEM-1","itemData":{"DOI":"10.1080/02602938.2016.1160273","ISSN":"1469297X","abstract":"As higher education systems and institutions expand, more energy is being invested in ensuring that sufficient learning has been achieved to warrant the award of a qualification. Many commonly used assessment approaches do not scale well, and there remains a pressing need for reform. This paper distils insights from international investigations of student learning outcomes assessment, using this analysis to chart frontiers for innovation. This paper sets out principles for guiding change in this field, presents an evaluation of progress via a review of signature assessment initiatives, reviews likely facilitators and blockers and, through these analyses, derives a strategy for spurring development.","author":[{"dropping-particle":"","family":"Coates","given":"Hamish","non-dropping-particle":"","parse-names":false,"suffix":""}],"container-title":"Assessment and Evaluation in Higher Education","id":"ITEM-1","issue":"5","issued":{"date-parts":[["2016"]]},"page":"662-676","title":"Assessing student learning outcomes internationally: insights and frontiers","type":"article-journal","volume":"41"},"uris":["http://www.mendeley.com/documents/?uuid=5281b29d-d3a3-43fd-9d16-eb12f702525a"]}],"mendeley":{"formattedCitation":"[22]","plainTextFormattedCitation":"[22]","previouslyFormattedCitation":"[22]"},"properties":{"noteIndex":0},"schema":"https://github.com/citation-style-language/schema/raw/master/csl-citation.json"}</w:instrText>
      </w:r>
      <w:r w:rsidR="005C25EE">
        <w:fldChar w:fldCharType="separate"/>
      </w:r>
      <w:r w:rsidR="005C25EE" w:rsidRPr="005C25EE">
        <w:rPr>
          <w:noProof/>
        </w:rPr>
        <w:t>[22]</w:t>
      </w:r>
      <w:r w:rsidR="005C25EE">
        <w:fldChar w:fldCharType="end"/>
      </w:r>
      <w:r w:rsidRPr="00842F86">
        <w:t xml:space="preserve">. Learning outcomes are related to knowledge, skills, and competencies that students can demonstrate at the end of the formal, non-formal, or informal learning process </w:t>
      </w:r>
      <w:r w:rsidR="00E3225C">
        <w:fldChar w:fldCharType="begin" w:fldLock="1"/>
      </w:r>
      <w:r w:rsidR="006A1869">
        <w:instrText>ADDIN CSL_CITATION {"citationItems":[{"id":"ITEM-1","itemData":{"author":[{"dropping-particle":"","family":"Bohlinger","given":"Sandra","non-dropping-particle":"","parse-names":false,"suffix":""}],"id":"ITEM-1","issue":"3","issued":{"date-parts":[["2012"]]},"page":"279-297","title":"Quali fi cations frameworks and learning outcomes : challenges for Europe ’ s lifelong learning area","type":"article-journal","volume":"25"},"uris":["http://www.mendeley.com/documents/?uuid=85e29b6b-129f-4694-872b-1ab33f98f474"]}],"mendeley":{"formattedCitation":"[23]","plainTextFormattedCitation":"[23]","previouslyFormattedCitation":"[23]"},"properties":{"noteIndex":0},"schema":"https://github.com/citation-style-language/schema/raw/master/csl-citation.json"}</w:instrText>
      </w:r>
      <w:r w:rsidR="00E3225C">
        <w:fldChar w:fldCharType="separate"/>
      </w:r>
      <w:r w:rsidR="00E3225C" w:rsidRPr="00E3225C">
        <w:rPr>
          <w:noProof/>
        </w:rPr>
        <w:t>[23]</w:t>
      </w:r>
      <w:r w:rsidR="00E3225C">
        <w:fldChar w:fldCharType="end"/>
      </w:r>
      <w:r w:rsidRPr="00842F86">
        <w:t>.</w:t>
      </w:r>
    </w:p>
    <w:p w14:paraId="356BF151" w14:textId="43A79589" w:rsidR="00842F86" w:rsidRPr="00842F86" w:rsidRDefault="00842F86" w:rsidP="00842F86">
      <w:pPr>
        <w:ind w:firstLine="709"/>
        <w:jc w:val="both"/>
      </w:pPr>
      <w:r w:rsidRPr="00842F86">
        <w:t xml:space="preserve">Speaking is a tool for communicating structured and developed ideas according to needs </w:t>
      </w:r>
      <w:r w:rsidR="006A1869">
        <w:fldChar w:fldCharType="begin" w:fldLock="1"/>
      </w:r>
      <w:r w:rsidR="00CD11F9">
        <w:instrText>ADDIN CSL_CITATION {"citationItems":[{"id":"ITEM-1","itemData":{"DOI":"10.1080/09588221.2017.1308384","ISSN":"17443210","abstract":"Most students of English as a foreign language (EFL) lack sufficient opportunities to practice their English-speaking skills. However, the recent development of social-networking sites (SNSs) and mobile learning, and especially mobile-assisted language learning, represents new opportunities for these learners to practice speaking English in a meaningful way. This study integrated a mobile SNS into first-grade EFL classes in China, with the aim of determining its effects on the students’ speaking skills. Two classes were recruited, one as a control group that did not use the SNS, and the other as the experimental group, which did. While both classes’ speaking skills improved between pretest and posttest, the gains in English fluency by the experimental group were significantly larger. Progress in accuracy and pronunciation, on the other hand, were similar across the two groups. These findings are discussed in relation to specific characteristics of SNSs and mobile learning that enable learners to speak in low-stress, situated contexts.","author":[{"dropping-particle":"","family":"Sun","given":"Zhong","non-dropping-particle":"","parse-names":false,"suffix":""},{"dropping-particle":"","family":"Lin","given":"Chin Hsi","non-dropping-particle":"","parse-names":false,"suffix":""},{"dropping-particle":"","family":"You","given":"Jiaxin","non-dropping-particle":"","parse-names":false,"suffix":""},{"dropping-particle":"","family":"Shen","given":"Hai jiao","non-dropping-particle":"","parse-names":false,"suffix":""},{"dropping-particle":"","family":"Qi","given":"Song","non-dropping-particle":"","parse-names":false,"suffix":""},{"dropping-particle":"","family":"Luo","given":"Liming","non-dropping-particle":"","parse-names":false,"suffix":""}],"container-title":"Computer Assisted Language Learning","id":"ITEM-1","issue":"3-4","issued":{"date-parts":[["2017"]]},"page":"304-324","publisher":"Taylor &amp; Francis","title":"Improving the English-speaking skills of young learners through mobile social networking","type":"article-journal","volume":"30"},"uris":["http://www.mendeley.com/documents/?uuid=e2789bd2-3f9d-406d-8884-bfc21790467f"]}],"mendeley":{"formattedCitation":"[24]","plainTextFormattedCitation":"[24]","previouslyFormattedCitation":"[24]"},"properties":{"noteIndex":0},"schema":"https://github.com/citation-style-language/schema/raw/master/csl-citation.json"}</w:instrText>
      </w:r>
      <w:r w:rsidR="006A1869">
        <w:fldChar w:fldCharType="separate"/>
      </w:r>
      <w:r w:rsidR="006A1869" w:rsidRPr="006A1869">
        <w:rPr>
          <w:noProof/>
        </w:rPr>
        <w:t>[24]</w:t>
      </w:r>
      <w:r w:rsidR="006A1869">
        <w:fldChar w:fldCharType="end"/>
      </w:r>
      <w:r w:rsidRPr="00842F86">
        <w:t xml:space="preserve">. To speak correctly, the speaker must master pronunciation, structure, and vocabulary. Besides, it takes mastery of the problems and </w:t>
      </w:r>
      <w:proofErr w:type="gramStart"/>
      <w:r w:rsidRPr="00842F86">
        <w:t>ideas presented and understands</w:t>
      </w:r>
      <w:proofErr w:type="gramEnd"/>
      <w:r w:rsidRPr="00842F86">
        <w:t xml:space="preserve"> the speaker's language. Abilities to articulate or pronounce words to </w:t>
      </w:r>
      <w:proofErr w:type="gramStart"/>
      <w:r w:rsidRPr="00842F86">
        <w:t>express,</w:t>
      </w:r>
      <w:proofErr w:type="gramEnd"/>
      <w:r w:rsidRPr="00842F86">
        <w:t xml:space="preserve"> convey thoughts, ideas and feelings are needed. Speaking fluently in the language being studied means students can actualize different vocabulary and language structures, resulting in communication between fellow students and students and teachers. Talking is a person's effort to convey information, ideas, and ideas using symbols, words, and images </w:t>
      </w:r>
      <w:r w:rsidR="00CD11F9">
        <w:fldChar w:fldCharType="begin" w:fldLock="1"/>
      </w:r>
      <w:r w:rsidR="00335A2C">
        <w:instrText>ADDIN CSL_CITATION {"citationItems":[{"id":"ITEM-1","itemData":{"DOI":"10.1177/1362168818799371","ISSN":"14770954","abstract":"The current study investigates the extent to which receptive vocabulary size test scores can predict second language (L2) speaking ability. Forty-six international students with an advanced level of L2 proficiency completed a receptive vocabulary task (Yes/No test; Meara &amp; Miralpeix, 2017) and a spontaneous speaking task (oral picture narrative). Elicited speech samples were submitted to expert rating based on speakers’ vocabulary features as well as lexical sophistication measures. Results indicate that vocabulary size was significantly associated with vocabulary rating. However, learners with large vocabulary sizes did not necessarily produce lexically sophisticated L2 words during speech. A closer examination of the data reveals complexities regarding the relationship between vocabulary knowledge and speaking. Based on these findings, we explore implications for L2 vocabulary assessment in classroom teaching contexts and provide important suggestions for future research on the vocabulary-and-speaking link.","author":[{"dropping-particle":"","family":"Uchihara","given":"Takumi","non-dropping-particle":"","parse-names":false,"suffix":""},{"dropping-particle":"","family":"Clenton","given":"Jon","non-dropping-particle":"","parse-names":false,"suffix":""}],"container-title":"Language Teaching Research","id":"ITEM-1","issue":"4","issued":{"date-parts":[["2020"]]},"page":"540-556","title":"Investigating the role of vocabulary size in second language speaking ability","type":"article-journal","volume":"24"},"uris":["http://www.mendeley.com/documents/?uuid=d71a9d52-8a51-431b-8100-19c8efa812b5"]}],"mendeley":{"formattedCitation":"[25]","plainTextFormattedCitation":"[25]","previouslyFormattedCitation":"[25]"},"properties":{"noteIndex":0},"schema":"https://github.com/citation-style-language/schema/raw/master/csl-citation.json"}</w:instrText>
      </w:r>
      <w:r w:rsidR="00CD11F9">
        <w:fldChar w:fldCharType="separate"/>
      </w:r>
      <w:r w:rsidR="00CD11F9" w:rsidRPr="00CD11F9">
        <w:rPr>
          <w:noProof/>
        </w:rPr>
        <w:t>[25]</w:t>
      </w:r>
      <w:r w:rsidR="00CD11F9">
        <w:fldChar w:fldCharType="end"/>
      </w:r>
      <w:r w:rsidRPr="00842F86">
        <w:t xml:space="preserve">. Assessment of speaking skills in German concerns expressions that include (1) Acceptable meanings in which the value given is 2.0 if the meaning of the sentence used is fully structured (according to the flow of the conversation), 1.5 if the meaning of most of the sentences is acceptable, 0,5, if the sentence used, has a relationship with the communication situation but in terms of meaning it is not acceptable, and 0.0, if the sentence used, has no relationship with the communication situation. (2) Vocabulary in which the value is given is 2.0 if the vocabulary used is entirely following the communication situation and conditions that cannot be broadly </w:t>
      </w:r>
      <w:r w:rsidRPr="00842F86">
        <w:lastRenderedPageBreak/>
        <w:t xml:space="preserve">stated, but students can describe it accurately, 1.5 = the vocabulary used is by the purpose of the communication situation and for terms that cannot be stated logically, but students can provide a description that is close to the direct meaning, 0.5 = Only part of the vocabulary is used in the given communication situation, and 0.0 if the vocabulary used is not in accordance with the communication situation provided. (3) Grammar in which the value given = 2.0 if the sentence used almost have no grammatical errors, 1.5 = </w:t>
      </w:r>
      <w:proofErr w:type="gramStart"/>
      <w:r w:rsidRPr="00842F86">
        <w:t>The</w:t>
      </w:r>
      <w:proofErr w:type="gramEnd"/>
      <w:r w:rsidRPr="00842F86">
        <w:t xml:space="preserve"> sentence used contains some grammar errors but does not interfere with communication, 0.5 = Due to some grammatical errors language, the sentence used is not clear in meaning, clarity is obtained only with the help of the examiner. 0.0 = There are various grammatical errors, so the meaning of the sentence used cannot be understood. (4) Skills in which the score is given 2.0 = if the student has good speaking skills in dialogue, without having to be assisted by directions from the examiner. 1.5 = Students have satisfactory speaking skills with the help of sentences from examiners, 0.5 = Students can only compose sentences in the dialogue, if assisted by repeated reference sentences from examiners, 0.0 = Students have been assisted with reference sentences from examiners, but still unable to string sentences in dialogue. (5) Speech and intonation in which the value is given = 2.0 = if speech and intonation do not show significant deviations from the spoken standard, 1.5 = pronunciation and intonation show a deviation from standard spoken language, but do not interfere with understanding of the meaning of the sentence, pronunciation and intonation; 0.5 = indicates a significant deviation from the standard spoken language, making it difficult to understand spoken sentences and requiring high auditory concentration to understand; 0,0 if the pronunciation and intonation completely deviates from the standard spoken language, so that the spoken sentence cannot be understood. Based on the theoretical explanation above, it can be concluded that the results of learning German are changes in knowledge, attitudes, and skills obtained by students after participating in the learning process in class, which includes four basic skills, namely hearing (</w:t>
      </w:r>
      <w:proofErr w:type="spellStart"/>
      <w:r w:rsidRPr="00842F86">
        <w:rPr>
          <w:i/>
          <w:iCs/>
        </w:rPr>
        <w:t>Höverstehen</w:t>
      </w:r>
      <w:proofErr w:type="spellEnd"/>
      <w:r w:rsidRPr="00842F86">
        <w:t>), speaking (</w:t>
      </w:r>
      <w:proofErr w:type="spellStart"/>
      <w:r w:rsidRPr="00842F86">
        <w:rPr>
          <w:i/>
          <w:iCs/>
        </w:rPr>
        <w:t>Sprechfertigkeit</w:t>
      </w:r>
      <w:proofErr w:type="spellEnd"/>
      <w:r w:rsidRPr="00842F86">
        <w:t>), reading ( </w:t>
      </w:r>
      <w:proofErr w:type="spellStart"/>
      <w:r w:rsidRPr="00842F86">
        <w:rPr>
          <w:i/>
          <w:iCs/>
        </w:rPr>
        <w:t>Leseverstehen</w:t>
      </w:r>
      <w:proofErr w:type="spellEnd"/>
      <w:r w:rsidRPr="00842F86">
        <w:t>) and writing (</w:t>
      </w:r>
      <w:proofErr w:type="spellStart"/>
      <w:r w:rsidRPr="00842F86">
        <w:rPr>
          <w:i/>
          <w:iCs/>
        </w:rPr>
        <w:t>Schreibfertigkeit</w:t>
      </w:r>
      <w:proofErr w:type="spellEnd"/>
      <w:r w:rsidRPr="00842F86">
        <w:t xml:space="preserve">) </w:t>
      </w:r>
      <w:r w:rsidR="00335A2C">
        <w:fldChar w:fldCharType="begin" w:fldLock="1"/>
      </w:r>
      <w:r w:rsidR="00335A2C">
        <w:instrText>ADDIN CSL_CITATION {"citationItems":[{"id":"ITEM-1","itemData":{"DOI":"10.1177/1745499920959150","ISSN":"17454999","abstract":"This study compares teaching and learning in German and Chinese vocational education and training (VET) schools. The adoption of teaching methods and instructional media are used as two descriptive dimensions. Relevant data on these factors were collected through systematic classroom observation. Generally, both similarities and differences can be noted between German and Chinese VET schools. The results concerning adoption of teaching methods and instructional media are discussed in the context of two factors: teacher education; and curriculum.","author":[{"dropping-particle":"","family":"Guo","given":"Henan","non-dropping-particle":"","parse-names":false,"suffix":""},{"dropping-particle":"","family":"Pilz","given":"Matthias","non-dropping-particle":"","parse-names":false,"suffix":""}],"container-title":"Research in Comparative and International Education","id":"ITEM-1","issue":"4","issued":{"date-parts":[["2020"]]},"page":"391-413","title":"A comparative study of teaching and learning in German and Chinese vocational education and training schools: A classroom observation study","type":"article-journal","volume":"15"},"uris":["http://www.mendeley.com/documents/?uuid=250328d9-7613-45ad-8776-3017185c075b"]}],"mendeley":{"formattedCitation":"[26]","plainTextFormattedCitation":"[26]","previouslyFormattedCitation":"[26]"},"properties":{"noteIndex":0},"schema":"https://github.com/citation-style-language/schema/raw/master/csl-citation.json"}</w:instrText>
      </w:r>
      <w:r w:rsidR="00335A2C">
        <w:fldChar w:fldCharType="separate"/>
      </w:r>
      <w:r w:rsidR="00335A2C" w:rsidRPr="00335A2C">
        <w:rPr>
          <w:noProof/>
        </w:rPr>
        <w:t>[26]</w:t>
      </w:r>
      <w:r w:rsidR="00335A2C">
        <w:fldChar w:fldCharType="end"/>
      </w:r>
      <w:r w:rsidRPr="00842F86">
        <w:t>. The results of this study were obtained from the final grades obtained by students after going through the learning process and the test or evaluation process.</w:t>
      </w:r>
    </w:p>
    <w:p w14:paraId="091581E0" w14:textId="77777777" w:rsidR="00842F86" w:rsidRPr="00842F86" w:rsidRDefault="00842F86" w:rsidP="00842F86">
      <w:pPr>
        <w:ind w:firstLine="720"/>
        <w:jc w:val="both"/>
      </w:pPr>
    </w:p>
    <w:p w14:paraId="192432DD" w14:textId="6421090A" w:rsidR="00842F86" w:rsidRPr="00842F86" w:rsidRDefault="00842F86" w:rsidP="00842F86">
      <w:pPr>
        <w:pStyle w:val="ListParagraph"/>
        <w:numPr>
          <w:ilvl w:val="1"/>
          <w:numId w:val="18"/>
        </w:numPr>
        <w:spacing w:after="0"/>
        <w:ind w:left="426" w:hanging="426"/>
        <w:rPr>
          <w:rFonts w:ascii="Times New Roman" w:hAnsi="Times New Roman"/>
          <w:b/>
          <w:sz w:val="20"/>
          <w:szCs w:val="20"/>
        </w:rPr>
      </w:pPr>
      <w:proofErr w:type="spellStart"/>
      <w:r w:rsidRPr="00842F86">
        <w:rPr>
          <w:rFonts w:ascii="Times New Roman" w:hAnsi="Times New Roman"/>
          <w:b/>
          <w:sz w:val="20"/>
          <w:szCs w:val="20"/>
        </w:rPr>
        <w:t>Kahoot</w:t>
      </w:r>
      <w:proofErr w:type="spellEnd"/>
      <w:r w:rsidRPr="00842F86">
        <w:rPr>
          <w:rFonts w:ascii="Times New Roman" w:hAnsi="Times New Roman"/>
          <w:b/>
          <w:sz w:val="20"/>
          <w:szCs w:val="20"/>
        </w:rPr>
        <w:t xml:space="preserve">! Educational Game Learning Media </w:t>
      </w:r>
    </w:p>
    <w:p w14:paraId="72A87350" w14:textId="7E76E81E" w:rsidR="00842F86" w:rsidRDefault="00842F86" w:rsidP="00842F86">
      <w:pPr>
        <w:pStyle w:val="Style"/>
        <w:tabs>
          <w:tab w:val="left" w:pos="567"/>
          <w:tab w:val="left" w:pos="9598"/>
        </w:tabs>
        <w:ind w:right="26" w:firstLine="709"/>
        <w:jc w:val="both"/>
        <w:rPr>
          <w:rFonts w:ascii="Times New Roman" w:hAnsi="Times New Roman" w:cs="Times New Roman"/>
          <w:sz w:val="20"/>
          <w:szCs w:val="20"/>
          <w:lang w:bidi="he-IL"/>
        </w:rPr>
      </w:pPr>
      <w:proofErr w:type="spellStart"/>
      <w:proofErr w:type="gramStart"/>
      <w:r w:rsidRPr="00842F86">
        <w:rPr>
          <w:rFonts w:ascii="Times New Roman" w:hAnsi="Times New Roman" w:cs="Times New Roman"/>
          <w:i/>
          <w:sz w:val="20"/>
          <w:szCs w:val="20"/>
          <w:lang w:bidi="he-IL"/>
        </w:rPr>
        <w:t>Kahoot</w:t>
      </w:r>
      <w:proofErr w:type="spellEnd"/>
      <w:r w:rsidRPr="00842F86">
        <w:rPr>
          <w:rFonts w:ascii="Times New Roman" w:hAnsi="Times New Roman" w:cs="Times New Roman"/>
          <w:i/>
          <w:sz w:val="20"/>
          <w:szCs w:val="20"/>
          <w:lang w:bidi="he-IL"/>
        </w:rPr>
        <w:t>!</w:t>
      </w:r>
      <w:r w:rsidRPr="00842F86">
        <w:rPr>
          <w:rFonts w:ascii="Times New Roman" w:hAnsi="Times New Roman" w:cs="Times New Roman"/>
          <w:sz w:val="20"/>
          <w:szCs w:val="20"/>
          <w:lang w:bidi="he-IL"/>
        </w:rPr>
        <w:t>'</w:t>
      </w:r>
      <w:proofErr w:type="gramEnd"/>
      <w:r w:rsidRPr="00842F86">
        <w:rPr>
          <w:rFonts w:ascii="Times New Roman" w:hAnsi="Times New Roman" w:cs="Times New Roman"/>
          <w:sz w:val="20"/>
          <w:szCs w:val="20"/>
          <w:lang w:bidi="he-IL"/>
        </w:rPr>
        <w:t xml:space="preserve">s educational game in education is one type of learning arranged and organized based on games, which are easy to create, share and play anywhere, anytime, and by anyone </w:t>
      </w:r>
      <w:r w:rsidR="00335A2C">
        <w:rPr>
          <w:rFonts w:ascii="Times New Roman" w:hAnsi="Times New Roman" w:cs="Times New Roman"/>
          <w:sz w:val="20"/>
          <w:szCs w:val="20"/>
          <w:lang w:bidi="he-IL"/>
        </w:rPr>
        <w:fldChar w:fldCharType="begin" w:fldLock="1"/>
      </w:r>
      <w:r w:rsidR="00AC7D98">
        <w:rPr>
          <w:rFonts w:ascii="Times New Roman" w:hAnsi="Times New Roman" w:cs="Times New Roman"/>
          <w:sz w:val="20"/>
          <w:szCs w:val="20"/>
          <w:lang w:bidi="he-IL"/>
        </w:rPr>
        <w:instrText>ADDIN CSL_CITATION {"citationItems":[{"id":"ITEM-1","itemData":{"DOI":"10.1177/2379298116689783","ISSN":"2379-2981","abstract":"Instructional games are gaining acceptance in the classroom as the eLearning merits of student engagement and immediate feedback are recognized. Within higher education, the use of these tools is often limited due to lack of time, insufficient experience, or doubts regarding the scholarly merits of such activities. Kahoot! is a popular eLearning tool that can easily be used to add vitality, student engagement, and meta-cognitive supports to higher education classrooms with limited instructor or student training required. The free online learning platform has gained wide acceptance globally with more than 30 million users worldwide, and it is based on current user-centered and behavioral design methodologies. Student responses and our experiences using Kahoot! in graduate and undergraduate classrooms indicate that students welcome the use of this game. The real-time feedback provides opportunities for professors in various disciplines to tailor their instruction based on student understanding on quizzes while the surveys allow for anonymous classroom participation, which further engages all students.","author":[{"dropping-particle":"","family":"Plump","given":"Carolyn M.","non-dropping-particle":"","parse-names":false,"suffix":""},{"dropping-particle":"","family":"LaRosa","given":"Julia","non-dropping-particle":"","parse-names":false,"suffix":""}],"container-title":"Management Teaching Review","id":"ITEM-1","issue":"2","issued":{"date-parts":[["2017"]]},"page":"151-158","title":"Using Kahoot! in the Classroom to Create Engagement and Active Learning: A Game-Based Technology Solution for eLearning Novices","type":"article-journal","volume":"2"},"uris":["http://www.mendeley.com/documents/?uuid=4093acdd-683f-4e2a-937e-54633840e060"]}],"mendeley":{"formattedCitation":"[27]","plainTextFormattedCitation":"[27]","previouslyFormattedCitation":"[27]"},"properties":{"noteIndex":0},"schema":"https://github.com/citation-style-language/schema/raw/master/csl-citation.json"}</w:instrText>
      </w:r>
      <w:r w:rsidR="00335A2C">
        <w:rPr>
          <w:rFonts w:ascii="Times New Roman" w:hAnsi="Times New Roman" w:cs="Times New Roman"/>
          <w:sz w:val="20"/>
          <w:szCs w:val="20"/>
          <w:lang w:bidi="he-IL"/>
        </w:rPr>
        <w:fldChar w:fldCharType="separate"/>
      </w:r>
      <w:r w:rsidR="00335A2C" w:rsidRPr="00335A2C">
        <w:rPr>
          <w:rFonts w:ascii="Times New Roman" w:hAnsi="Times New Roman" w:cs="Times New Roman"/>
          <w:noProof/>
          <w:sz w:val="20"/>
          <w:szCs w:val="20"/>
          <w:lang w:bidi="he-IL"/>
        </w:rPr>
        <w:t>[27]</w:t>
      </w:r>
      <w:r w:rsidR="00335A2C">
        <w:rPr>
          <w:rFonts w:ascii="Times New Roman" w:hAnsi="Times New Roman" w:cs="Times New Roman"/>
          <w:sz w:val="20"/>
          <w:szCs w:val="20"/>
          <w:lang w:bidi="he-IL"/>
        </w:rPr>
        <w:fldChar w:fldCharType="end"/>
      </w:r>
      <w:r w:rsidRPr="00842F86">
        <w:rPr>
          <w:rFonts w:ascii="Times New Roman" w:hAnsi="Times New Roman" w:cs="Times New Roman"/>
          <w:sz w:val="20"/>
          <w:szCs w:val="20"/>
          <w:lang w:bidi="he-IL"/>
        </w:rPr>
        <w:t xml:space="preserve">. As one of the learning techniques in the form of media, the </w:t>
      </w:r>
      <w:proofErr w:type="spellStart"/>
      <w:r w:rsidRPr="00842F86">
        <w:rPr>
          <w:rFonts w:ascii="Times New Roman" w:hAnsi="Times New Roman" w:cs="Times New Roman"/>
          <w:i/>
          <w:sz w:val="20"/>
          <w:szCs w:val="20"/>
          <w:lang w:bidi="he-IL"/>
        </w:rPr>
        <w:t>Kahoot</w:t>
      </w:r>
      <w:proofErr w:type="spellEnd"/>
      <w:r w:rsidRPr="00842F86">
        <w:rPr>
          <w:rFonts w:ascii="Times New Roman" w:hAnsi="Times New Roman" w:cs="Times New Roman"/>
          <w:i/>
          <w:sz w:val="20"/>
          <w:szCs w:val="20"/>
          <w:lang w:bidi="he-IL"/>
        </w:rPr>
        <w:t>!</w:t>
      </w:r>
      <w:r w:rsidRPr="00842F86">
        <w:rPr>
          <w:rFonts w:ascii="Times New Roman" w:hAnsi="Times New Roman" w:cs="Times New Roman"/>
          <w:sz w:val="20"/>
          <w:szCs w:val="20"/>
          <w:lang w:bidi="he-IL"/>
        </w:rPr>
        <w:t xml:space="preserve"> educational game is open, can be played independently, or can also be played with other people, which is expected to help students develop knowledge </w:t>
      </w:r>
      <w:r w:rsidR="00335A2C">
        <w:rPr>
          <w:rFonts w:ascii="Times New Roman" w:hAnsi="Times New Roman" w:cs="Times New Roman"/>
          <w:sz w:val="20"/>
          <w:szCs w:val="20"/>
          <w:lang w:bidi="he-IL"/>
        </w:rPr>
        <w:fldChar w:fldCharType="begin" w:fldLock="1"/>
      </w:r>
      <w:r w:rsidR="00AC7D98">
        <w:rPr>
          <w:rFonts w:ascii="Times New Roman" w:hAnsi="Times New Roman" w:cs="Times New Roman"/>
          <w:sz w:val="20"/>
          <w:szCs w:val="20"/>
          <w:lang w:bidi="he-IL"/>
        </w:rPr>
        <w:instrText>ADDIN CSL_CITATION {"citationItems":[{"id":"ITEM-1","itemData":{"DOI":"10.1177/0047239518804173","ISSN":"0047-2395","abstract":"Today, there is growing interest in digital game-based learning due to the increase in the variety of educational and commercial games available. The literature indicates that digital educational games are effective at keeping learners engaged. This study examines the use of a digital educational game called Kahoot and supports the hypothesis that it can improve engagement and learning when immersed in traditional, lecture-based classrooms. The results of the mixed-methods study, using 96 undergraduates, suggest that learners’ performance and engagement are enhanced when using Kahoot versus traditional teaching methods. In addition, practitioner and future research implications are also discussed.","author":[{"dropping-particle":"","family":"Bawa","given":"Papia","non-dropping-particle":"","parse-names":false,"suffix":""}],"container-title":"Journal of Educational Technology Systems","id":"ITEM-1","issue":"3","issued":{"date-parts":[["2019"]]},"page":"373-390","title":"Using Kahoot to Inspire","type":"article-journal","volume":"47"},"uris":["http://www.mendeley.com/documents/?uuid=5c0f9f1d-fd53-4b49-91e8-e8e4f90cb0ee"]}],"mendeley":{"formattedCitation":"[28]","plainTextFormattedCitation":"[28]","previouslyFormattedCitation":"[28]"},"properties":{"noteIndex":0},"schema":"https://github.com/citation-style-language/schema/raw/master/csl-citation.json"}</w:instrText>
      </w:r>
      <w:r w:rsidR="00335A2C">
        <w:rPr>
          <w:rFonts w:ascii="Times New Roman" w:hAnsi="Times New Roman" w:cs="Times New Roman"/>
          <w:sz w:val="20"/>
          <w:szCs w:val="20"/>
          <w:lang w:bidi="he-IL"/>
        </w:rPr>
        <w:fldChar w:fldCharType="separate"/>
      </w:r>
      <w:r w:rsidR="00335A2C" w:rsidRPr="00335A2C">
        <w:rPr>
          <w:rFonts w:ascii="Times New Roman" w:hAnsi="Times New Roman" w:cs="Times New Roman"/>
          <w:noProof/>
          <w:sz w:val="20"/>
          <w:szCs w:val="20"/>
          <w:lang w:bidi="he-IL"/>
        </w:rPr>
        <w:t>[28]</w:t>
      </w:r>
      <w:r w:rsidR="00335A2C">
        <w:rPr>
          <w:rFonts w:ascii="Times New Roman" w:hAnsi="Times New Roman" w:cs="Times New Roman"/>
          <w:sz w:val="20"/>
          <w:szCs w:val="20"/>
          <w:lang w:bidi="he-IL"/>
        </w:rPr>
        <w:fldChar w:fldCharType="end"/>
      </w:r>
      <w:r w:rsidRPr="00842F86">
        <w:rPr>
          <w:rFonts w:ascii="Times New Roman" w:hAnsi="Times New Roman" w:cs="Times New Roman"/>
          <w:sz w:val="20"/>
          <w:szCs w:val="20"/>
          <w:lang w:val="id-ID" w:bidi="he-IL"/>
        </w:rPr>
        <w:t xml:space="preserve">. </w:t>
      </w:r>
    </w:p>
    <w:p w14:paraId="0C46F839" w14:textId="0D682E12" w:rsidR="00842F86" w:rsidRPr="00842F86" w:rsidRDefault="00842F86" w:rsidP="00842F86">
      <w:pPr>
        <w:pStyle w:val="Style"/>
        <w:tabs>
          <w:tab w:val="left" w:pos="567"/>
          <w:tab w:val="left" w:pos="9598"/>
        </w:tabs>
        <w:ind w:right="26" w:firstLine="709"/>
        <w:jc w:val="both"/>
        <w:rPr>
          <w:rFonts w:ascii="Times New Roman" w:hAnsi="Times New Roman" w:cs="Times New Roman"/>
          <w:sz w:val="20"/>
          <w:szCs w:val="20"/>
          <w:lang w:bidi="he-IL"/>
        </w:rPr>
      </w:pPr>
      <w:r w:rsidRPr="00842F86">
        <w:rPr>
          <w:rFonts w:ascii="Times New Roman" w:hAnsi="Times New Roman" w:cs="Times New Roman"/>
          <w:sz w:val="20"/>
          <w:szCs w:val="20"/>
          <w:lang w:bidi="he-IL"/>
        </w:rPr>
        <w:t xml:space="preserve">Game </w:t>
      </w:r>
      <w:proofErr w:type="spellStart"/>
      <w:r w:rsidRPr="00842F86">
        <w:rPr>
          <w:rFonts w:ascii="Times New Roman" w:hAnsi="Times New Roman" w:cs="Times New Roman"/>
          <w:i/>
          <w:sz w:val="20"/>
          <w:szCs w:val="20"/>
          <w:lang w:bidi="he-IL"/>
        </w:rPr>
        <w:t>Kahoot</w:t>
      </w:r>
      <w:proofErr w:type="spellEnd"/>
      <w:r w:rsidRPr="00842F86">
        <w:rPr>
          <w:rFonts w:ascii="Times New Roman" w:hAnsi="Times New Roman" w:cs="Times New Roman"/>
          <w:i/>
          <w:sz w:val="20"/>
          <w:szCs w:val="20"/>
          <w:lang w:bidi="he-IL"/>
        </w:rPr>
        <w:t>!</w:t>
      </w:r>
      <w:r w:rsidRPr="00842F86">
        <w:rPr>
          <w:rFonts w:ascii="Times New Roman" w:hAnsi="Times New Roman" w:cs="Times New Roman"/>
          <w:sz w:val="20"/>
          <w:szCs w:val="20"/>
          <w:lang w:bidi="he-IL"/>
        </w:rPr>
        <w:t xml:space="preserve"> </w:t>
      </w:r>
      <w:proofErr w:type="gramStart"/>
      <w:r w:rsidRPr="00842F86">
        <w:rPr>
          <w:rFonts w:ascii="Times New Roman" w:hAnsi="Times New Roman" w:cs="Times New Roman"/>
          <w:sz w:val="20"/>
          <w:szCs w:val="20"/>
          <w:lang w:bidi="he-IL"/>
        </w:rPr>
        <w:t>in</w:t>
      </w:r>
      <w:proofErr w:type="gramEnd"/>
      <w:r w:rsidRPr="00842F86">
        <w:rPr>
          <w:rFonts w:ascii="Times New Roman" w:hAnsi="Times New Roman" w:cs="Times New Roman"/>
          <w:sz w:val="20"/>
          <w:szCs w:val="20"/>
          <w:lang w:bidi="he-IL"/>
        </w:rPr>
        <w:t xml:space="preserve"> its application, as a learning medium, can help expand and clarify the message or information provided to smoothen and improve the learning process and results. Also, it is helpful to improve and direct student attention so that they can be motivated to learn, which in the end have an impact on learning outcomes </w:t>
      </w:r>
      <w:r w:rsidR="00AC7D98">
        <w:rPr>
          <w:rFonts w:ascii="Times New Roman" w:hAnsi="Times New Roman" w:cs="Times New Roman"/>
          <w:sz w:val="20"/>
          <w:szCs w:val="20"/>
          <w:lang w:bidi="he-IL"/>
        </w:rPr>
        <w:fldChar w:fldCharType="begin" w:fldLock="1"/>
      </w:r>
      <w:r w:rsidR="00AC7D98">
        <w:rPr>
          <w:rFonts w:ascii="Times New Roman" w:hAnsi="Times New Roman" w:cs="Times New Roman"/>
          <w:sz w:val="20"/>
          <w:szCs w:val="20"/>
          <w:lang w:bidi="he-IL"/>
        </w:rPr>
        <w:instrText>ADDIN CSL_CITATION {"citationItems":[{"id":"ITEM-1","itemData":{"ISSN":"1793-7078","abstract":"Technology is being increasingly integrated into teaching environments in view of enhancing students’ engagement and motivation. In particular, game-based student response systems have been found to foster students’ engagement, enhance classroom dynamics and improve overall students’ learning experience. This article presents outcomes of research that examined students’ experience using a game-based student response system, Kahoot!, in an Information Systems Strategy and Governance course at a research-intensive teaching university in New Zealand. We conducted semi-structured interviews with students to learn about the extent to which Kahoot! influence classroom dynamics, motivation and students’ learning process. Key findings revealed that Kahoot! enriched the quality of student learning in the classroom, with the highest influence reported on classroom dynamics, engagement, motivation and improved learning experience. Our findings also suggest that the use of educational games in the classroom is likely to minimise distractions, thereby improving the quality of teaching and learning beyond what is provided in conventional classrooms. Other factors that contributed to students’ enhanced learning included the creation and integration of appropriate content in Kahoot!, providing students with timely feedback, and game-play (gamification) strategies. Keywords:","author":[{"dropping-particle":"","family":"Licorish","given":"Sherlock A","non-dropping-particle":"","parse-names":false,"suffix":""},{"dropping-particle":"","family":"Owen","given":"Helen E","non-dropping-particle":"","parse-names":false,"suffix":""},{"dropping-particle":"","family":"Daniel","given":"Ben","non-dropping-particle":"","parse-names":false,"suffix":""},{"dropping-particle":"","family":"George","given":"Jade Li","non-dropping-particle":"","parse-names":false,"suffix":""}],"container-title":"Research and Practice in Technology Enhanced Learning","id":"ITEM-1","issue":"9","issued":{"date-parts":[["2018"]]},"page":"1-24","publisher":"Research and Practice in Technology Enhanced Learning","title":"Student perception Kahoot","type":"article-journal","volume":"13"},"uris":["http://www.mendeley.com/documents/?uuid=13cab661-0303-4196-8c10-39ef717e4e3f"]}],"mendeley":{"formattedCitation":"[29]","plainTextFormattedCitation":"[29]","previouslyFormattedCitation":"[29]"},"properties":{"noteIndex":0},"schema":"https://github.com/citation-style-language/schema/raw/master/csl-citation.json"}</w:instrText>
      </w:r>
      <w:r w:rsidR="00AC7D98">
        <w:rPr>
          <w:rFonts w:ascii="Times New Roman" w:hAnsi="Times New Roman" w:cs="Times New Roman"/>
          <w:sz w:val="20"/>
          <w:szCs w:val="20"/>
          <w:lang w:bidi="he-IL"/>
        </w:rPr>
        <w:fldChar w:fldCharType="separate"/>
      </w:r>
      <w:r w:rsidR="00AC7D98" w:rsidRPr="00AC7D98">
        <w:rPr>
          <w:rFonts w:ascii="Times New Roman" w:hAnsi="Times New Roman" w:cs="Times New Roman"/>
          <w:noProof/>
          <w:sz w:val="20"/>
          <w:szCs w:val="20"/>
          <w:lang w:bidi="he-IL"/>
        </w:rPr>
        <w:t>[29]</w:t>
      </w:r>
      <w:r w:rsidR="00AC7D98">
        <w:rPr>
          <w:rFonts w:ascii="Times New Roman" w:hAnsi="Times New Roman" w:cs="Times New Roman"/>
          <w:sz w:val="20"/>
          <w:szCs w:val="20"/>
          <w:lang w:bidi="he-IL"/>
        </w:rPr>
        <w:fldChar w:fldCharType="end"/>
      </w:r>
      <w:r w:rsidRPr="00842F86">
        <w:rPr>
          <w:rFonts w:ascii="Times New Roman" w:eastAsiaTheme="minorHAnsi" w:hAnsi="Times New Roman" w:cs="Times New Roman"/>
          <w:color w:val="000000"/>
          <w:sz w:val="20"/>
          <w:szCs w:val="20"/>
        </w:rPr>
        <w:t xml:space="preserve">. </w:t>
      </w:r>
    </w:p>
    <w:p w14:paraId="19AD52E3" w14:textId="28FAC27D" w:rsidR="00842F86" w:rsidRPr="00842F86" w:rsidRDefault="00842F86" w:rsidP="00842F86">
      <w:pPr>
        <w:ind w:left="117" w:right="858" w:firstLine="912"/>
        <w:rPr>
          <w:b/>
        </w:rPr>
      </w:pPr>
      <w:r w:rsidRPr="00842F86">
        <w:rPr>
          <w:noProof/>
        </w:rPr>
        <w:drawing>
          <wp:anchor distT="0" distB="0" distL="114300" distR="114300" simplePos="0" relativeHeight="251664384" behindDoc="0" locked="0" layoutInCell="1" allowOverlap="1" wp14:anchorId="3E5A0DA1" wp14:editId="2076DFD2">
            <wp:simplePos x="0" y="0"/>
            <wp:positionH relativeFrom="column">
              <wp:posOffset>1377315</wp:posOffset>
            </wp:positionH>
            <wp:positionV relativeFrom="paragraph">
              <wp:posOffset>46685</wp:posOffset>
            </wp:positionV>
            <wp:extent cx="3209290" cy="1769745"/>
            <wp:effectExtent l="19050" t="19050" r="10160" b="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384" t="21946" r="30714" b="18905"/>
                    <a:stretch/>
                  </pic:blipFill>
                  <pic:spPr bwMode="auto">
                    <a:xfrm>
                      <a:off x="0" y="0"/>
                      <a:ext cx="3209290" cy="17697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1A070" w14:textId="77777777" w:rsidR="00842F86" w:rsidRPr="00842F86" w:rsidRDefault="00842F86" w:rsidP="00842F86">
      <w:pPr>
        <w:ind w:left="117" w:right="858" w:firstLine="912"/>
        <w:rPr>
          <w:b/>
        </w:rPr>
      </w:pPr>
    </w:p>
    <w:p w14:paraId="3B84B796" w14:textId="029BAAF9" w:rsidR="00842F86" w:rsidRPr="00842F86" w:rsidRDefault="00842F86" w:rsidP="00842F86">
      <w:pPr>
        <w:ind w:left="117" w:right="858" w:firstLine="912"/>
        <w:rPr>
          <w:b/>
        </w:rPr>
      </w:pPr>
    </w:p>
    <w:p w14:paraId="6D83D998" w14:textId="77777777" w:rsidR="00842F86" w:rsidRPr="00842F86" w:rsidRDefault="00842F86" w:rsidP="00842F86">
      <w:pPr>
        <w:ind w:left="117" w:right="858" w:firstLine="912"/>
        <w:rPr>
          <w:b/>
        </w:rPr>
      </w:pPr>
    </w:p>
    <w:p w14:paraId="763F8FD5" w14:textId="77777777" w:rsidR="00842F86" w:rsidRPr="00842F86" w:rsidRDefault="00842F86" w:rsidP="00842F86">
      <w:pPr>
        <w:ind w:left="117" w:right="858" w:firstLine="912"/>
        <w:rPr>
          <w:b/>
        </w:rPr>
      </w:pPr>
    </w:p>
    <w:p w14:paraId="7F7DC2B4" w14:textId="77777777" w:rsidR="00842F86" w:rsidRPr="00842F86" w:rsidRDefault="00842F86" w:rsidP="00842F86">
      <w:pPr>
        <w:ind w:left="117" w:right="858" w:firstLine="912"/>
        <w:rPr>
          <w:b/>
        </w:rPr>
      </w:pPr>
    </w:p>
    <w:p w14:paraId="16A37BFD" w14:textId="77777777" w:rsidR="00842F86" w:rsidRPr="00842F86" w:rsidRDefault="00842F86" w:rsidP="00842F86">
      <w:pPr>
        <w:ind w:left="117" w:right="858" w:firstLine="912"/>
        <w:rPr>
          <w:b/>
        </w:rPr>
      </w:pPr>
    </w:p>
    <w:p w14:paraId="18D8517C" w14:textId="77777777" w:rsidR="00842F86" w:rsidRPr="00842F86" w:rsidRDefault="00842F86" w:rsidP="00842F86">
      <w:pPr>
        <w:ind w:left="117" w:right="858" w:firstLine="912"/>
        <w:rPr>
          <w:b/>
        </w:rPr>
      </w:pPr>
    </w:p>
    <w:p w14:paraId="3DBABAD8" w14:textId="77777777" w:rsidR="00842F86" w:rsidRDefault="00842F86" w:rsidP="00842F86">
      <w:pPr>
        <w:ind w:left="117" w:right="858" w:firstLine="912"/>
        <w:rPr>
          <w:b/>
        </w:rPr>
      </w:pPr>
    </w:p>
    <w:p w14:paraId="583B7DF3" w14:textId="77777777" w:rsidR="00842F86" w:rsidRDefault="00842F86" w:rsidP="00842F86">
      <w:pPr>
        <w:ind w:left="117" w:right="858" w:firstLine="912"/>
        <w:rPr>
          <w:b/>
        </w:rPr>
      </w:pPr>
    </w:p>
    <w:p w14:paraId="7D5BBC79" w14:textId="77777777" w:rsidR="00842F86" w:rsidRPr="00842F86" w:rsidRDefault="00842F86" w:rsidP="00842F86">
      <w:pPr>
        <w:ind w:left="117" w:right="858" w:firstLine="912"/>
        <w:rPr>
          <w:b/>
        </w:rPr>
      </w:pPr>
    </w:p>
    <w:p w14:paraId="3F9EBE2B" w14:textId="77777777" w:rsidR="00842F86" w:rsidRPr="00842F86" w:rsidRDefault="00842F86" w:rsidP="00842F86">
      <w:pPr>
        <w:ind w:left="117" w:right="858" w:firstLine="912"/>
        <w:rPr>
          <w:b/>
        </w:rPr>
      </w:pPr>
    </w:p>
    <w:p w14:paraId="7F27264B" w14:textId="77777777" w:rsidR="00842F86" w:rsidRPr="00842F86" w:rsidRDefault="00842F86" w:rsidP="00842F86">
      <w:pPr>
        <w:ind w:left="117" w:right="858" w:firstLine="912"/>
        <w:rPr>
          <w:b/>
        </w:rPr>
      </w:pPr>
    </w:p>
    <w:p w14:paraId="1BF4F86B" w14:textId="77777777" w:rsidR="00842F86" w:rsidRPr="00842F86" w:rsidRDefault="00842F86" w:rsidP="00842F86">
      <w:pPr>
        <w:pStyle w:val="Style"/>
        <w:tabs>
          <w:tab w:val="left" w:pos="567"/>
          <w:tab w:val="left" w:pos="9598"/>
        </w:tabs>
        <w:ind w:right="26" w:firstLine="720"/>
        <w:jc w:val="center"/>
        <w:rPr>
          <w:rFonts w:ascii="Times New Roman" w:eastAsiaTheme="minorHAnsi" w:hAnsi="Times New Roman" w:cs="Times New Roman"/>
          <w:color w:val="000000"/>
          <w:sz w:val="20"/>
          <w:szCs w:val="20"/>
        </w:rPr>
      </w:pPr>
      <w:proofErr w:type="gramStart"/>
      <w:r w:rsidRPr="00842F86">
        <w:rPr>
          <w:rFonts w:ascii="Times New Roman" w:eastAsiaTheme="minorHAnsi" w:hAnsi="Times New Roman" w:cs="Times New Roman"/>
          <w:color w:val="000000"/>
          <w:sz w:val="20"/>
          <w:szCs w:val="20"/>
        </w:rPr>
        <w:t>Figure 1.</w:t>
      </w:r>
      <w:proofErr w:type="gramEnd"/>
      <w:r w:rsidRPr="00842F86">
        <w:rPr>
          <w:rFonts w:ascii="Times New Roman" w:eastAsiaTheme="minorHAnsi" w:hAnsi="Times New Roman" w:cs="Times New Roman"/>
          <w:color w:val="000000"/>
          <w:sz w:val="20"/>
          <w:szCs w:val="20"/>
        </w:rPr>
        <w:t xml:space="preserve"> Display of Game </w:t>
      </w:r>
      <w:proofErr w:type="spellStart"/>
      <w:r w:rsidRPr="00842F86">
        <w:rPr>
          <w:rFonts w:ascii="Times New Roman" w:eastAsiaTheme="minorHAnsi" w:hAnsi="Times New Roman" w:cs="Times New Roman"/>
          <w:color w:val="000000"/>
          <w:sz w:val="20"/>
          <w:szCs w:val="20"/>
        </w:rPr>
        <w:t>Kahoot</w:t>
      </w:r>
      <w:proofErr w:type="spellEnd"/>
      <w:r w:rsidRPr="00842F86">
        <w:rPr>
          <w:rFonts w:ascii="Times New Roman" w:eastAsiaTheme="minorHAnsi" w:hAnsi="Times New Roman" w:cs="Times New Roman"/>
          <w:color w:val="000000"/>
          <w:sz w:val="20"/>
          <w:szCs w:val="20"/>
        </w:rPr>
        <w:t>!</w:t>
      </w:r>
    </w:p>
    <w:p w14:paraId="1FEAED60" w14:textId="77777777" w:rsidR="00842F86" w:rsidRPr="00842F86" w:rsidRDefault="00842F86" w:rsidP="00842F86">
      <w:pPr>
        <w:ind w:left="117" w:right="858" w:firstLine="912"/>
        <w:rPr>
          <w:b/>
        </w:rPr>
      </w:pPr>
    </w:p>
    <w:p w14:paraId="12A140D0" w14:textId="77777777" w:rsidR="00842F86" w:rsidRPr="00842F86" w:rsidRDefault="00842F86" w:rsidP="00842F86">
      <w:pPr>
        <w:tabs>
          <w:tab w:val="left" w:pos="8789"/>
          <w:tab w:val="left" w:pos="8931"/>
          <w:tab w:val="left" w:pos="9356"/>
        </w:tabs>
        <w:ind w:right="64" w:firstLine="709"/>
        <w:jc w:val="both"/>
        <w:rPr>
          <w:b/>
        </w:rPr>
      </w:pPr>
      <w:r w:rsidRPr="00842F86">
        <w:rPr>
          <w:lang w:bidi="he-IL"/>
        </w:rPr>
        <w:t xml:space="preserve">In the </w:t>
      </w:r>
      <w:proofErr w:type="spellStart"/>
      <w:r w:rsidRPr="00842F86">
        <w:rPr>
          <w:i/>
          <w:lang w:bidi="he-IL"/>
        </w:rPr>
        <w:t>Kahoot</w:t>
      </w:r>
      <w:proofErr w:type="spellEnd"/>
      <w:r w:rsidRPr="00842F86">
        <w:rPr>
          <w:i/>
          <w:lang w:bidi="he-IL"/>
        </w:rPr>
        <w:t>!</w:t>
      </w:r>
      <w:r w:rsidRPr="00842F86">
        <w:rPr>
          <w:lang w:bidi="he-IL"/>
        </w:rPr>
        <w:t xml:space="preserve"> </w:t>
      </w:r>
      <w:proofErr w:type="gramStart"/>
      <w:r w:rsidRPr="00842F86">
        <w:rPr>
          <w:lang w:bidi="he-IL"/>
        </w:rPr>
        <w:t>educational</w:t>
      </w:r>
      <w:proofErr w:type="gramEnd"/>
      <w:r w:rsidRPr="00842F86">
        <w:rPr>
          <w:lang w:bidi="he-IL"/>
        </w:rPr>
        <w:t xml:space="preserve"> game application, students' full support is needed, namely providing energy, time, and thoughts and being ready to work together with fellow students in groups. Meanwhile, from the point of view of educators, they are expected to have high creativity, especially in the provision and development and design of new </w:t>
      </w:r>
      <w:proofErr w:type="spellStart"/>
      <w:r w:rsidRPr="00842F86">
        <w:rPr>
          <w:i/>
          <w:lang w:bidi="he-IL"/>
        </w:rPr>
        <w:t>Kahoot</w:t>
      </w:r>
      <w:proofErr w:type="spellEnd"/>
      <w:r w:rsidRPr="00842F86">
        <w:rPr>
          <w:i/>
          <w:lang w:bidi="he-IL"/>
        </w:rPr>
        <w:t>!</w:t>
      </w:r>
      <w:r w:rsidRPr="00842F86">
        <w:rPr>
          <w:lang w:bidi="he-IL"/>
        </w:rPr>
        <w:t xml:space="preserve"> </w:t>
      </w:r>
      <w:proofErr w:type="gramStart"/>
      <w:r w:rsidRPr="00842F86">
        <w:rPr>
          <w:lang w:bidi="he-IL"/>
        </w:rPr>
        <w:t>game</w:t>
      </w:r>
      <w:proofErr w:type="gramEnd"/>
      <w:r w:rsidRPr="00842F86">
        <w:rPr>
          <w:lang w:bidi="he-IL"/>
        </w:rPr>
        <w:t xml:space="preserve"> forms with the addition of </w:t>
      </w:r>
      <w:proofErr w:type="spellStart"/>
      <w:r w:rsidRPr="00842F86">
        <w:rPr>
          <w:i/>
          <w:iCs/>
          <w:lang w:bidi="he-IL"/>
        </w:rPr>
        <w:t>Structuren</w:t>
      </w:r>
      <w:proofErr w:type="spellEnd"/>
      <w:r w:rsidRPr="00842F86">
        <w:rPr>
          <w:lang w:bidi="he-IL"/>
        </w:rPr>
        <w:t xml:space="preserve"> forms and new vocabulary, and regulating the course of the implementation of teaching and learning activities, so that activities progress smoothly without hindrance. In this situation, students are motivated to learn continuously. In implementing the learning process, a lecturer needs to have certain innovations in learning media and the evaluation model because evaluation is a benchmark used to measure the achievement of a lesson's success. </w:t>
      </w:r>
      <w:proofErr w:type="spellStart"/>
      <w:r w:rsidRPr="00842F86">
        <w:rPr>
          <w:i/>
          <w:lang w:bidi="he-IL"/>
        </w:rPr>
        <w:t>Kahoot</w:t>
      </w:r>
      <w:proofErr w:type="spellEnd"/>
      <w:r w:rsidRPr="00842F86">
        <w:rPr>
          <w:i/>
          <w:lang w:bidi="he-IL"/>
        </w:rPr>
        <w:t>!</w:t>
      </w:r>
      <w:r w:rsidRPr="00842F86">
        <w:rPr>
          <w:lang w:bidi="he-IL"/>
        </w:rPr>
        <w:t xml:space="preserve"> </w:t>
      </w:r>
      <w:proofErr w:type="gramStart"/>
      <w:r w:rsidRPr="00842F86">
        <w:rPr>
          <w:lang w:bidi="he-IL"/>
        </w:rPr>
        <w:t>is</w:t>
      </w:r>
      <w:proofErr w:type="gramEnd"/>
      <w:r w:rsidRPr="00842F86">
        <w:rPr>
          <w:lang w:bidi="he-IL"/>
        </w:rPr>
        <w:t xml:space="preserve"> a game that is displayed on a computer by a lecturer or teacher. Then, the </w:t>
      </w:r>
      <w:r w:rsidRPr="00842F86">
        <w:rPr>
          <w:lang w:bidi="he-IL"/>
        </w:rPr>
        <w:lastRenderedPageBreak/>
        <w:t xml:space="preserve">participants will give answers on the cellphone. The code that comes out of </w:t>
      </w:r>
      <w:proofErr w:type="spellStart"/>
      <w:r w:rsidRPr="00842F86">
        <w:rPr>
          <w:i/>
          <w:lang w:bidi="he-IL"/>
        </w:rPr>
        <w:t>Kahoot</w:t>
      </w:r>
      <w:proofErr w:type="spellEnd"/>
      <w:r w:rsidRPr="00842F86">
        <w:rPr>
          <w:i/>
          <w:lang w:bidi="he-IL"/>
        </w:rPr>
        <w:t>!</w:t>
      </w:r>
      <w:r w:rsidRPr="00842F86">
        <w:rPr>
          <w:lang w:bidi="he-IL"/>
        </w:rPr>
        <w:t xml:space="preserve"> </w:t>
      </w:r>
      <w:proofErr w:type="gramStart"/>
      <w:r w:rsidRPr="00842F86">
        <w:rPr>
          <w:lang w:bidi="he-IL"/>
        </w:rPr>
        <w:t>will</w:t>
      </w:r>
      <w:proofErr w:type="gramEnd"/>
      <w:r w:rsidRPr="00842F86">
        <w:rPr>
          <w:lang w:bidi="he-IL"/>
        </w:rPr>
        <w:t xml:space="preserve"> be connected to the participant's cellphone. Each participant will answer the questions given.</w:t>
      </w:r>
    </w:p>
    <w:p w14:paraId="4F40233C" w14:textId="77777777" w:rsidR="00842F86" w:rsidRPr="00842F86" w:rsidRDefault="00842F86" w:rsidP="00842F86">
      <w:pPr>
        <w:ind w:left="117" w:right="858" w:firstLine="912"/>
        <w:rPr>
          <w:b/>
        </w:rPr>
      </w:pPr>
    </w:p>
    <w:p w14:paraId="6A948D0F" w14:textId="77777777" w:rsidR="00842F86" w:rsidRPr="00842F86" w:rsidRDefault="00842F86" w:rsidP="00842F86">
      <w:pPr>
        <w:ind w:left="117" w:right="858" w:firstLine="912"/>
        <w:rPr>
          <w:b/>
        </w:rPr>
      </w:pPr>
      <w:r w:rsidRPr="00842F86">
        <w:rPr>
          <w:noProof/>
        </w:rPr>
        <w:drawing>
          <wp:anchor distT="0" distB="0" distL="114300" distR="114300" simplePos="0" relativeHeight="251665408" behindDoc="0" locked="0" layoutInCell="1" allowOverlap="1" wp14:anchorId="189B078F" wp14:editId="0E7DC561">
            <wp:simplePos x="0" y="0"/>
            <wp:positionH relativeFrom="column">
              <wp:posOffset>1202083</wp:posOffset>
            </wp:positionH>
            <wp:positionV relativeFrom="paragraph">
              <wp:posOffset>1546</wp:posOffset>
            </wp:positionV>
            <wp:extent cx="3753015" cy="1931044"/>
            <wp:effectExtent l="19050" t="19050" r="1905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0393" t="18416" r="10937" b="13466"/>
                    <a:stretch/>
                  </pic:blipFill>
                  <pic:spPr bwMode="auto">
                    <a:xfrm>
                      <a:off x="0" y="0"/>
                      <a:ext cx="3750528" cy="19297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F4779A" w14:textId="77777777" w:rsidR="00842F86" w:rsidRPr="00842F86" w:rsidRDefault="00842F86" w:rsidP="00842F86">
      <w:pPr>
        <w:ind w:left="117" w:right="858" w:firstLine="912"/>
        <w:rPr>
          <w:b/>
        </w:rPr>
      </w:pPr>
    </w:p>
    <w:p w14:paraId="409D3227" w14:textId="77777777" w:rsidR="00842F86" w:rsidRPr="00842F86" w:rsidRDefault="00842F86" w:rsidP="00842F86">
      <w:pPr>
        <w:ind w:left="117" w:right="858" w:firstLine="912"/>
        <w:rPr>
          <w:b/>
        </w:rPr>
      </w:pPr>
    </w:p>
    <w:p w14:paraId="6999C886" w14:textId="77777777" w:rsidR="00842F86" w:rsidRPr="00842F86" w:rsidRDefault="00842F86" w:rsidP="00842F86">
      <w:pPr>
        <w:ind w:left="117" w:right="858" w:firstLine="912"/>
        <w:rPr>
          <w:b/>
        </w:rPr>
      </w:pPr>
    </w:p>
    <w:p w14:paraId="4BAEAC06" w14:textId="77777777" w:rsidR="00842F86" w:rsidRPr="00842F86" w:rsidRDefault="00842F86" w:rsidP="00842F86">
      <w:pPr>
        <w:ind w:left="117" w:right="858" w:firstLine="912"/>
        <w:rPr>
          <w:b/>
        </w:rPr>
      </w:pPr>
    </w:p>
    <w:p w14:paraId="070A38E0" w14:textId="77777777" w:rsidR="00842F86" w:rsidRPr="00842F86" w:rsidRDefault="00842F86" w:rsidP="00842F86">
      <w:pPr>
        <w:ind w:left="117" w:right="858" w:firstLine="912"/>
        <w:rPr>
          <w:b/>
        </w:rPr>
      </w:pPr>
    </w:p>
    <w:p w14:paraId="2E34A2EC" w14:textId="77777777" w:rsidR="00842F86" w:rsidRPr="00842F86" w:rsidRDefault="00842F86" w:rsidP="00842F86">
      <w:pPr>
        <w:ind w:left="117" w:right="858" w:firstLine="912"/>
        <w:rPr>
          <w:b/>
        </w:rPr>
      </w:pPr>
    </w:p>
    <w:p w14:paraId="345AFE65" w14:textId="77777777" w:rsidR="00842F86" w:rsidRPr="00842F86" w:rsidRDefault="00842F86" w:rsidP="00842F86">
      <w:pPr>
        <w:ind w:left="117" w:right="858" w:firstLine="912"/>
        <w:rPr>
          <w:b/>
        </w:rPr>
      </w:pPr>
    </w:p>
    <w:p w14:paraId="21DE272F" w14:textId="77777777" w:rsidR="00842F86" w:rsidRPr="00842F86" w:rsidRDefault="00842F86" w:rsidP="00842F86">
      <w:pPr>
        <w:ind w:left="117" w:right="858" w:firstLine="912"/>
        <w:rPr>
          <w:b/>
        </w:rPr>
      </w:pPr>
    </w:p>
    <w:p w14:paraId="0A09D835" w14:textId="77777777" w:rsidR="00842F86" w:rsidRPr="00842F86" w:rsidRDefault="00842F86" w:rsidP="00842F86">
      <w:pPr>
        <w:ind w:left="117" w:right="858" w:firstLine="912"/>
        <w:rPr>
          <w:b/>
        </w:rPr>
      </w:pPr>
    </w:p>
    <w:p w14:paraId="36B8250C" w14:textId="77777777" w:rsidR="00842F86" w:rsidRPr="00842F86" w:rsidRDefault="00842F86" w:rsidP="00842F86">
      <w:pPr>
        <w:ind w:left="117" w:right="858" w:firstLine="912"/>
        <w:rPr>
          <w:b/>
        </w:rPr>
      </w:pPr>
    </w:p>
    <w:p w14:paraId="6291FC48" w14:textId="77777777" w:rsidR="00842F86" w:rsidRPr="00842F86" w:rsidRDefault="00842F86" w:rsidP="00842F86">
      <w:pPr>
        <w:ind w:left="117" w:right="858" w:firstLine="912"/>
        <w:rPr>
          <w:b/>
        </w:rPr>
      </w:pPr>
    </w:p>
    <w:p w14:paraId="15883791" w14:textId="77777777" w:rsidR="00842F86" w:rsidRPr="00842F86" w:rsidRDefault="00842F86" w:rsidP="00842F86">
      <w:pPr>
        <w:ind w:left="117" w:right="858" w:firstLine="912"/>
        <w:rPr>
          <w:b/>
        </w:rPr>
      </w:pPr>
    </w:p>
    <w:p w14:paraId="25C86E40" w14:textId="77777777" w:rsidR="00842F86" w:rsidRPr="00842F86" w:rsidRDefault="00842F86" w:rsidP="00842F86">
      <w:pPr>
        <w:ind w:left="117" w:right="858" w:firstLine="912"/>
        <w:rPr>
          <w:b/>
        </w:rPr>
      </w:pPr>
    </w:p>
    <w:p w14:paraId="153A460C" w14:textId="77777777" w:rsidR="00842F86" w:rsidRPr="00842F86" w:rsidRDefault="00842F86" w:rsidP="00842F86">
      <w:pPr>
        <w:pStyle w:val="Style"/>
        <w:tabs>
          <w:tab w:val="left" w:pos="567"/>
          <w:tab w:val="left" w:pos="9598"/>
        </w:tabs>
        <w:ind w:right="26" w:firstLine="720"/>
        <w:jc w:val="center"/>
        <w:rPr>
          <w:rFonts w:ascii="Times New Roman" w:eastAsiaTheme="minorHAnsi" w:hAnsi="Times New Roman" w:cs="Times New Roman"/>
          <w:color w:val="000000"/>
          <w:sz w:val="20"/>
          <w:szCs w:val="20"/>
        </w:rPr>
      </w:pPr>
      <w:proofErr w:type="gramStart"/>
      <w:r w:rsidRPr="00842F86">
        <w:rPr>
          <w:rFonts w:ascii="Times New Roman" w:eastAsiaTheme="minorHAnsi" w:hAnsi="Times New Roman" w:cs="Times New Roman"/>
          <w:color w:val="000000"/>
          <w:sz w:val="20"/>
          <w:szCs w:val="20"/>
        </w:rPr>
        <w:t>Figure 2.</w:t>
      </w:r>
      <w:proofErr w:type="gramEnd"/>
      <w:r w:rsidRPr="00842F86">
        <w:rPr>
          <w:rFonts w:ascii="Times New Roman" w:eastAsiaTheme="minorHAnsi" w:hAnsi="Times New Roman" w:cs="Times New Roman"/>
          <w:color w:val="000000"/>
          <w:sz w:val="20"/>
          <w:szCs w:val="20"/>
        </w:rPr>
        <w:t xml:space="preserve"> Display of Game </w:t>
      </w:r>
      <w:proofErr w:type="spellStart"/>
      <w:r w:rsidRPr="00842F86">
        <w:rPr>
          <w:rFonts w:ascii="Times New Roman" w:eastAsiaTheme="minorHAnsi" w:hAnsi="Times New Roman" w:cs="Times New Roman"/>
          <w:color w:val="000000"/>
          <w:sz w:val="20"/>
          <w:szCs w:val="20"/>
        </w:rPr>
        <w:t>Kahoot</w:t>
      </w:r>
      <w:proofErr w:type="spellEnd"/>
      <w:r w:rsidRPr="00842F86">
        <w:rPr>
          <w:rFonts w:ascii="Times New Roman" w:eastAsiaTheme="minorHAnsi" w:hAnsi="Times New Roman" w:cs="Times New Roman"/>
          <w:color w:val="000000"/>
          <w:sz w:val="20"/>
          <w:szCs w:val="20"/>
        </w:rPr>
        <w:t xml:space="preserve">! </w:t>
      </w:r>
      <w:proofErr w:type="gramStart"/>
      <w:r w:rsidRPr="00842F86">
        <w:rPr>
          <w:rFonts w:ascii="Times New Roman" w:eastAsiaTheme="minorHAnsi" w:hAnsi="Times New Roman" w:cs="Times New Roman"/>
          <w:color w:val="000000"/>
          <w:sz w:val="20"/>
          <w:szCs w:val="20"/>
        </w:rPr>
        <w:t>projected</w:t>
      </w:r>
      <w:proofErr w:type="gramEnd"/>
      <w:r w:rsidRPr="00842F86">
        <w:rPr>
          <w:rFonts w:ascii="Times New Roman" w:eastAsiaTheme="minorHAnsi" w:hAnsi="Times New Roman" w:cs="Times New Roman"/>
          <w:color w:val="000000"/>
          <w:sz w:val="20"/>
          <w:szCs w:val="20"/>
        </w:rPr>
        <w:t xml:space="preserve"> from computers and cellphones</w:t>
      </w:r>
    </w:p>
    <w:p w14:paraId="779E080F" w14:textId="77777777" w:rsidR="00842F86" w:rsidRPr="00842F86" w:rsidRDefault="00842F86" w:rsidP="00842F86">
      <w:pPr>
        <w:ind w:left="117" w:right="858" w:firstLine="912"/>
      </w:pPr>
    </w:p>
    <w:p w14:paraId="04A80F27" w14:textId="77777777" w:rsidR="00842F86" w:rsidRPr="00842F86" w:rsidRDefault="00842F86" w:rsidP="00842F86">
      <w:pPr>
        <w:pStyle w:val="Style"/>
        <w:tabs>
          <w:tab w:val="left" w:pos="567"/>
          <w:tab w:val="left" w:pos="9598"/>
        </w:tabs>
        <w:ind w:right="26" w:firstLine="709"/>
        <w:jc w:val="both"/>
        <w:rPr>
          <w:rFonts w:ascii="Times New Roman" w:eastAsiaTheme="minorHAnsi" w:hAnsi="Times New Roman" w:cs="Times New Roman"/>
          <w:b/>
          <w:bCs/>
          <w:color w:val="000000"/>
          <w:sz w:val="20"/>
          <w:szCs w:val="20"/>
        </w:rPr>
      </w:pPr>
      <w:proofErr w:type="spellStart"/>
      <w:r w:rsidRPr="00842F86">
        <w:rPr>
          <w:rFonts w:ascii="Times New Roman" w:eastAsiaTheme="minorHAnsi" w:hAnsi="Times New Roman" w:cs="Times New Roman"/>
          <w:color w:val="000000"/>
          <w:sz w:val="20"/>
          <w:szCs w:val="20"/>
        </w:rPr>
        <w:t>Kahoot</w:t>
      </w:r>
      <w:proofErr w:type="spellEnd"/>
      <w:r w:rsidRPr="00842F86">
        <w:rPr>
          <w:rFonts w:ascii="Times New Roman" w:eastAsiaTheme="minorHAnsi" w:hAnsi="Times New Roman" w:cs="Times New Roman"/>
          <w:color w:val="000000"/>
          <w:sz w:val="20"/>
          <w:szCs w:val="20"/>
        </w:rPr>
        <w:t xml:space="preserve">! </w:t>
      </w:r>
      <w:proofErr w:type="gramStart"/>
      <w:r w:rsidRPr="00842F86">
        <w:rPr>
          <w:rFonts w:ascii="Times New Roman" w:eastAsiaTheme="minorHAnsi" w:hAnsi="Times New Roman" w:cs="Times New Roman"/>
          <w:color w:val="000000"/>
          <w:sz w:val="20"/>
          <w:szCs w:val="20"/>
        </w:rPr>
        <w:t>is</w:t>
      </w:r>
      <w:proofErr w:type="gramEnd"/>
      <w:r w:rsidRPr="00842F86">
        <w:rPr>
          <w:rFonts w:ascii="Times New Roman" w:eastAsiaTheme="minorHAnsi" w:hAnsi="Times New Roman" w:cs="Times New Roman"/>
          <w:color w:val="000000"/>
          <w:sz w:val="20"/>
          <w:szCs w:val="20"/>
        </w:rPr>
        <w:t xml:space="preserve"> a form of game application that has two different website addresses. </w:t>
      </w:r>
      <w:proofErr w:type="gramStart"/>
      <w:r w:rsidRPr="00842F86">
        <w:rPr>
          <w:rFonts w:ascii="Times New Roman" w:eastAsiaTheme="minorHAnsi" w:hAnsi="Times New Roman" w:cs="Times New Roman"/>
          <w:color w:val="000000"/>
          <w:sz w:val="20"/>
          <w:szCs w:val="20"/>
        </w:rPr>
        <w:t>https</w:t>
      </w:r>
      <w:proofErr w:type="gramEnd"/>
      <w:r w:rsidRPr="00842F86">
        <w:rPr>
          <w:rFonts w:ascii="Times New Roman" w:eastAsiaTheme="minorHAnsi" w:hAnsi="Times New Roman" w:cs="Times New Roman"/>
          <w:color w:val="000000"/>
          <w:sz w:val="20"/>
          <w:szCs w:val="20"/>
        </w:rPr>
        <w:t>://Kahoot!.</w:t>
      </w:r>
      <w:proofErr w:type="gramStart"/>
      <w:r w:rsidRPr="00842F86">
        <w:rPr>
          <w:rFonts w:ascii="Times New Roman" w:eastAsiaTheme="minorHAnsi" w:hAnsi="Times New Roman" w:cs="Times New Roman"/>
          <w:color w:val="000000"/>
          <w:sz w:val="20"/>
          <w:szCs w:val="20"/>
        </w:rPr>
        <w:t>com</w:t>
      </w:r>
      <w:proofErr w:type="gramEnd"/>
      <w:r w:rsidRPr="00842F86">
        <w:rPr>
          <w:rFonts w:ascii="Times New Roman" w:eastAsiaTheme="minorHAnsi" w:hAnsi="Times New Roman" w:cs="Times New Roman"/>
          <w:color w:val="000000"/>
          <w:sz w:val="20"/>
          <w:szCs w:val="20"/>
        </w:rPr>
        <w:t>/ is for teachers, and https://Kahoot!.</w:t>
      </w:r>
      <w:proofErr w:type="gramStart"/>
      <w:r w:rsidRPr="00842F86">
        <w:rPr>
          <w:rFonts w:ascii="Times New Roman" w:eastAsiaTheme="minorHAnsi" w:hAnsi="Times New Roman" w:cs="Times New Roman"/>
          <w:color w:val="000000"/>
          <w:sz w:val="20"/>
          <w:szCs w:val="20"/>
        </w:rPr>
        <w:t>it</w:t>
      </w:r>
      <w:proofErr w:type="gramEnd"/>
      <w:r w:rsidRPr="00842F86">
        <w:rPr>
          <w:rFonts w:ascii="Times New Roman" w:eastAsiaTheme="minorHAnsi" w:hAnsi="Times New Roman" w:cs="Times New Roman"/>
          <w:color w:val="000000"/>
          <w:sz w:val="20"/>
          <w:szCs w:val="20"/>
        </w:rPr>
        <w:t>/ is explicitly for learners. "</w:t>
      </w:r>
      <w:proofErr w:type="spellStart"/>
      <w:r w:rsidRPr="00842F86">
        <w:rPr>
          <w:rFonts w:ascii="Times New Roman" w:eastAsiaTheme="minorHAnsi" w:hAnsi="Times New Roman" w:cs="Times New Roman"/>
          <w:color w:val="000000"/>
          <w:sz w:val="20"/>
          <w:szCs w:val="20"/>
        </w:rPr>
        <w:t>Kahoot</w:t>
      </w:r>
      <w:proofErr w:type="spellEnd"/>
      <w:r w:rsidRPr="00842F86">
        <w:rPr>
          <w:rFonts w:ascii="Times New Roman" w:eastAsiaTheme="minorHAnsi" w:hAnsi="Times New Roman" w:cs="Times New Roman"/>
          <w:color w:val="000000"/>
          <w:sz w:val="20"/>
          <w:szCs w:val="20"/>
        </w:rPr>
        <w:t>!" can be accessed and used free of charge, including all of its features. "</w:t>
      </w:r>
      <w:proofErr w:type="spellStart"/>
      <w:r w:rsidRPr="00842F86">
        <w:rPr>
          <w:rFonts w:ascii="Times New Roman" w:eastAsiaTheme="minorHAnsi" w:hAnsi="Times New Roman" w:cs="Times New Roman"/>
          <w:color w:val="000000"/>
          <w:sz w:val="20"/>
          <w:szCs w:val="20"/>
        </w:rPr>
        <w:t>Kahoot</w:t>
      </w:r>
      <w:proofErr w:type="spellEnd"/>
      <w:r w:rsidRPr="00842F86">
        <w:rPr>
          <w:rFonts w:ascii="Times New Roman" w:eastAsiaTheme="minorHAnsi" w:hAnsi="Times New Roman" w:cs="Times New Roman"/>
          <w:color w:val="000000"/>
          <w:sz w:val="20"/>
          <w:szCs w:val="20"/>
        </w:rPr>
        <w:t xml:space="preserve">!" platform can be used for several assessment forms, including online quizzes, surveys, and discussions. In the application, of course, students need an internet network to learn and play this game.  </w:t>
      </w:r>
    </w:p>
    <w:p w14:paraId="621589DB" w14:textId="77777777" w:rsidR="00842F86" w:rsidRPr="00842F86" w:rsidRDefault="00842F86" w:rsidP="0098156B">
      <w:pPr>
        <w:pStyle w:val="Style"/>
        <w:tabs>
          <w:tab w:val="left" w:pos="567"/>
          <w:tab w:val="left" w:pos="9598"/>
        </w:tabs>
        <w:ind w:right="28"/>
        <w:jc w:val="both"/>
        <w:rPr>
          <w:rFonts w:ascii="Times New Roman" w:hAnsi="Times New Roman" w:cs="Times New Roman"/>
          <w:sz w:val="20"/>
          <w:szCs w:val="20"/>
          <w:lang w:bidi="he-IL"/>
        </w:rPr>
      </w:pPr>
    </w:p>
    <w:p w14:paraId="43CD4316" w14:textId="77777777" w:rsidR="00842F86" w:rsidRDefault="00842F86" w:rsidP="00F913D6">
      <w:pPr>
        <w:jc w:val="both"/>
      </w:pPr>
    </w:p>
    <w:p w14:paraId="4D9A0601" w14:textId="0CA8FD7B" w:rsidR="0098156B" w:rsidRPr="0098156B" w:rsidRDefault="00F913D6" w:rsidP="0098156B">
      <w:pPr>
        <w:numPr>
          <w:ilvl w:val="0"/>
          <w:numId w:val="18"/>
        </w:numPr>
        <w:tabs>
          <w:tab w:val="left" w:pos="426"/>
        </w:tabs>
        <w:ind w:left="426" w:hanging="426"/>
        <w:rPr>
          <w:b/>
          <w:bCs/>
          <w:lang w:val="id-ID"/>
        </w:rPr>
      </w:pPr>
      <w:r w:rsidRPr="0098156B">
        <w:rPr>
          <w:b/>
          <w:bCs/>
          <w:lang w:val="id-ID"/>
        </w:rPr>
        <w:t>RESEARCH METHOD</w:t>
      </w:r>
      <w:r w:rsidR="00E82214" w:rsidRPr="0098156B">
        <w:rPr>
          <w:b/>
          <w:bCs/>
        </w:rPr>
        <w:t xml:space="preserve"> </w:t>
      </w:r>
    </w:p>
    <w:p w14:paraId="01DEA0AE" w14:textId="12654EBA" w:rsidR="0098156B" w:rsidRPr="006E1168" w:rsidRDefault="0098156B" w:rsidP="0098156B">
      <w:pPr>
        <w:pStyle w:val="ListParagraph"/>
        <w:numPr>
          <w:ilvl w:val="1"/>
          <w:numId w:val="18"/>
        </w:numPr>
        <w:spacing w:after="0"/>
        <w:ind w:left="426" w:hanging="426"/>
        <w:jc w:val="both"/>
        <w:rPr>
          <w:rFonts w:ascii="Times New Roman" w:hAnsi="Times New Roman"/>
          <w:b/>
          <w:sz w:val="20"/>
          <w:szCs w:val="20"/>
        </w:rPr>
      </w:pPr>
      <w:r w:rsidRPr="006E1168">
        <w:rPr>
          <w:rFonts w:ascii="Times New Roman" w:hAnsi="Times New Roman"/>
          <w:b/>
          <w:sz w:val="20"/>
          <w:szCs w:val="20"/>
        </w:rPr>
        <w:t xml:space="preserve">Research </w:t>
      </w:r>
      <w:r w:rsidR="006E1168" w:rsidRPr="006E1168">
        <w:rPr>
          <w:rFonts w:ascii="Times New Roman" w:hAnsi="Times New Roman"/>
          <w:b/>
          <w:sz w:val="20"/>
          <w:szCs w:val="20"/>
        </w:rPr>
        <w:t>design</w:t>
      </w:r>
    </w:p>
    <w:p w14:paraId="54C6F6A5" w14:textId="77777777" w:rsidR="0098156B" w:rsidRDefault="0098156B" w:rsidP="0098156B">
      <w:pPr>
        <w:ind w:firstLine="709"/>
        <w:jc w:val="both"/>
      </w:pPr>
      <w:r w:rsidRPr="0098156B">
        <w:t xml:space="preserve">This research was a quasi-experimental study with a pre-test and post-test group design to determine the effect of the </w:t>
      </w:r>
      <w:proofErr w:type="spellStart"/>
      <w:r w:rsidRPr="0098156B">
        <w:t>Kahoot</w:t>
      </w:r>
      <w:proofErr w:type="spellEnd"/>
      <w:r w:rsidRPr="0098156B">
        <w:t xml:space="preserve">! </w:t>
      </w:r>
      <w:proofErr w:type="gramStart"/>
      <w:r w:rsidRPr="0098156B">
        <w:t>educational</w:t>
      </w:r>
      <w:proofErr w:type="gramEnd"/>
      <w:r w:rsidRPr="0098156B">
        <w:t xml:space="preserve"> game application on the learning outcomes of the </w:t>
      </w:r>
      <w:proofErr w:type="spellStart"/>
      <w:r w:rsidRPr="0098156B">
        <w:t>Sprechfertigkeit</w:t>
      </w:r>
      <w:proofErr w:type="spellEnd"/>
      <w:r w:rsidRPr="0098156B">
        <w:t xml:space="preserve"> 2 course German language students. This study has two variables, namely the </w:t>
      </w:r>
      <w:proofErr w:type="spellStart"/>
      <w:r w:rsidRPr="0098156B">
        <w:t>Kahoot</w:t>
      </w:r>
      <w:proofErr w:type="spellEnd"/>
      <w:r w:rsidRPr="0098156B">
        <w:t xml:space="preserve">! </w:t>
      </w:r>
      <w:proofErr w:type="gramStart"/>
      <w:r w:rsidRPr="0098156B">
        <w:t>game</w:t>
      </w:r>
      <w:proofErr w:type="gramEnd"/>
      <w:r w:rsidRPr="0098156B">
        <w:t xml:space="preserve"> learning media as the independent variable and the </w:t>
      </w:r>
      <w:proofErr w:type="spellStart"/>
      <w:r w:rsidRPr="0098156B">
        <w:t>Sprechfertigkeit</w:t>
      </w:r>
      <w:proofErr w:type="spellEnd"/>
      <w:r w:rsidRPr="0098156B">
        <w:t xml:space="preserve"> 2 learning outcomes as the dependent variable. </w:t>
      </w:r>
    </w:p>
    <w:p w14:paraId="25C42635" w14:textId="77777777" w:rsidR="00286612" w:rsidRPr="0098156B" w:rsidRDefault="00286612" w:rsidP="0098156B">
      <w:pPr>
        <w:ind w:firstLine="709"/>
        <w:jc w:val="both"/>
      </w:pPr>
    </w:p>
    <w:p w14:paraId="6FF10410" w14:textId="35BA0096" w:rsidR="0098156B" w:rsidRPr="00286612" w:rsidRDefault="0098156B" w:rsidP="00286612">
      <w:pPr>
        <w:pStyle w:val="ListParagraph"/>
        <w:numPr>
          <w:ilvl w:val="1"/>
          <w:numId w:val="18"/>
        </w:numPr>
        <w:spacing w:after="0"/>
        <w:ind w:left="426" w:hanging="426"/>
        <w:jc w:val="both"/>
        <w:rPr>
          <w:rFonts w:ascii="Times New Roman" w:hAnsi="Times New Roman"/>
          <w:b/>
          <w:sz w:val="20"/>
          <w:szCs w:val="20"/>
        </w:rPr>
      </w:pPr>
      <w:r w:rsidRPr="00286612">
        <w:rPr>
          <w:rFonts w:ascii="Times New Roman" w:hAnsi="Times New Roman"/>
          <w:b/>
          <w:sz w:val="20"/>
          <w:szCs w:val="20"/>
        </w:rPr>
        <w:t>Research Population and Sample</w:t>
      </w:r>
    </w:p>
    <w:p w14:paraId="0C35CEC7" w14:textId="77777777" w:rsidR="0098156B" w:rsidRPr="0098156B" w:rsidRDefault="0098156B" w:rsidP="00286612">
      <w:pPr>
        <w:ind w:firstLine="709"/>
        <w:jc w:val="both"/>
      </w:pPr>
      <w:r w:rsidRPr="0098156B">
        <w:t xml:space="preserve">The study population was the second-semester students of the German language, the teacher training, and education faculty, </w:t>
      </w:r>
      <w:proofErr w:type="spellStart"/>
      <w:r w:rsidRPr="0098156B">
        <w:t>Pattimura</w:t>
      </w:r>
      <w:proofErr w:type="spellEnd"/>
      <w:r w:rsidRPr="0098156B">
        <w:t xml:space="preserve"> University. </w:t>
      </w:r>
      <w:proofErr w:type="gramStart"/>
      <w:r w:rsidRPr="0098156B">
        <w:t>While the sample consisted of 37 students who took the </w:t>
      </w:r>
      <w:proofErr w:type="spellStart"/>
      <w:r w:rsidRPr="0098156B">
        <w:rPr>
          <w:iCs/>
        </w:rPr>
        <w:t>Sprechfertigkeit</w:t>
      </w:r>
      <w:proofErr w:type="spellEnd"/>
      <w:r w:rsidRPr="0098156B">
        <w:t> 2 course.</w:t>
      </w:r>
      <w:proofErr w:type="gramEnd"/>
      <w:r w:rsidRPr="0098156B">
        <w:t xml:space="preserve"> The research instruments were obtained through the pre-test and post-test, which were conducted to test and prove whether there was an effect of using the </w:t>
      </w:r>
      <w:proofErr w:type="spellStart"/>
      <w:r w:rsidRPr="0098156B">
        <w:t>Kahoot</w:t>
      </w:r>
      <w:proofErr w:type="spellEnd"/>
      <w:r w:rsidRPr="0098156B">
        <w:t xml:space="preserve">! </w:t>
      </w:r>
      <w:proofErr w:type="gramStart"/>
      <w:r w:rsidRPr="0098156B">
        <w:t>educational</w:t>
      </w:r>
      <w:proofErr w:type="gramEnd"/>
      <w:r w:rsidRPr="0098156B">
        <w:t xml:space="preserve"> game on the learning outcomes of </w:t>
      </w:r>
      <w:proofErr w:type="spellStart"/>
      <w:r w:rsidRPr="0098156B">
        <w:rPr>
          <w:iCs/>
        </w:rPr>
        <w:t>Sprechfertigkeit</w:t>
      </w:r>
      <w:proofErr w:type="spellEnd"/>
      <w:r w:rsidRPr="0098156B">
        <w:t xml:space="preserve"> 2. </w:t>
      </w:r>
    </w:p>
    <w:p w14:paraId="074A709A" w14:textId="77777777" w:rsidR="0098156B" w:rsidRPr="0098156B" w:rsidRDefault="0098156B" w:rsidP="0098156B">
      <w:pPr>
        <w:jc w:val="both"/>
      </w:pPr>
    </w:p>
    <w:p w14:paraId="4DCE8249" w14:textId="0032CCCA" w:rsidR="0098156B" w:rsidRPr="006E1168" w:rsidRDefault="0098156B" w:rsidP="00286612">
      <w:pPr>
        <w:pStyle w:val="ListParagraph"/>
        <w:numPr>
          <w:ilvl w:val="1"/>
          <w:numId w:val="18"/>
        </w:numPr>
        <w:spacing w:after="0"/>
        <w:ind w:left="426" w:hanging="426"/>
        <w:jc w:val="both"/>
        <w:rPr>
          <w:rFonts w:ascii="Times New Roman" w:hAnsi="Times New Roman"/>
          <w:b/>
          <w:sz w:val="20"/>
          <w:szCs w:val="20"/>
        </w:rPr>
      </w:pPr>
      <w:r w:rsidRPr="006E1168">
        <w:rPr>
          <w:rFonts w:ascii="Times New Roman" w:hAnsi="Times New Roman"/>
          <w:b/>
          <w:sz w:val="20"/>
          <w:szCs w:val="20"/>
        </w:rPr>
        <w:t xml:space="preserve">Research </w:t>
      </w:r>
      <w:r w:rsidR="006E1168" w:rsidRPr="006E1168">
        <w:rPr>
          <w:rFonts w:ascii="Times New Roman" w:hAnsi="Times New Roman"/>
          <w:b/>
          <w:sz w:val="20"/>
          <w:szCs w:val="20"/>
        </w:rPr>
        <w:t>instrument</w:t>
      </w:r>
    </w:p>
    <w:p w14:paraId="06690928" w14:textId="77777777" w:rsidR="0098156B" w:rsidRPr="0098156B" w:rsidRDefault="0098156B" w:rsidP="00286612">
      <w:pPr>
        <w:ind w:firstLine="709"/>
        <w:jc w:val="both"/>
      </w:pPr>
      <w:r w:rsidRPr="00286612">
        <w:t>He test materials</w:t>
      </w:r>
      <w:r w:rsidRPr="0098156B">
        <w:t xml:space="preserve"> used in this study are included in the category of tests that have the best content validity and have been tested actually in measuring student learning outcomes through the pre-test (before using the "educational game" </w:t>
      </w:r>
      <w:proofErr w:type="spellStart"/>
      <w:r w:rsidRPr="0098156B">
        <w:t>Kahoot</w:t>
      </w:r>
      <w:proofErr w:type="spellEnd"/>
      <w:r w:rsidRPr="0098156B">
        <w:t xml:space="preserve">!") </w:t>
      </w:r>
      <w:proofErr w:type="gramStart"/>
      <w:r w:rsidRPr="0098156B">
        <w:t>and</w:t>
      </w:r>
      <w:proofErr w:type="gramEnd"/>
      <w:r w:rsidRPr="0098156B">
        <w:t xml:space="preserve"> Post-test (after the application of the" educational game. "</w:t>
      </w:r>
      <w:proofErr w:type="spellStart"/>
      <w:r w:rsidRPr="0098156B">
        <w:t>Kahoot</w:t>
      </w:r>
      <w:proofErr w:type="spellEnd"/>
      <w:r w:rsidRPr="0098156B">
        <w:t xml:space="preserve">!"), </w:t>
      </w:r>
    </w:p>
    <w:p w14:paraId="069106D2" w14:textId="77777777" w:rsidR="0098156B" w:rsidRPr="0098156B" w:rsidRDefault="0098156B" w:rsidP="0098156B">
      <w:pPr>
        <w:ind w:firstLine="360"/>
        <w:jc w:val="both"/>
      </w:pPr>
    </w:p>
    <w:p w14:paraId="04BF5E1D" w14:textId="5DE73361" w:rsidR="0098156B" w:rsidRPr="006E1168" w:rsidRDefault="0098156B" w:rsidP="006E1168">
      <w:pPr>
        <w:pStyle w:val="ListParagraph"/>
        <w:numPr>
          <w:ilvl w:val="1"/>
          <w:numId w:val="18"/>
        </w:numPr>
        <w:spacing w:after="0"/>
        <w:ind w:left="426" w:hanging="426"/>
        <w:jc w:val="both"/>
        <w:rPr>
          <w:rFonts w:ascii="Times New Roman" w:hAnsi="Times New Roman"/>
          <w:b/>
          <w:sz w:val="20"/>
          <w:szCs w:val="20"/>
        </w:rPr>
      </w:pPr>
      <w:r w:rsidRPr="006E1168">
        <w:rPr>
          <w:rFonts w:ascii="Times New Roman" w:hAnsi="Times New Roman"/>
          <w:b/>
          <w:sz w:val="20"/>
          <w:szCs w:val="20"/>
        </w:rPr>
        <w:t xml:space="preserve">Research </w:t>
      </w:r>
      <w:r w:rsidR="006E1168" w:rsidRPr="006E1168">
        <w:rPr>
          <w:rFonts w:ascii="Times New Roman" w:hAnsi="Times New Roman"/>
          <w:b/>
          <w:sz w:val="20"/>
          <w:szCs w:val="20"/>
        </w:rPr>
        <w:t>data analysis</w:t>
      </w:r>
    </w:p>
    <w:p w14:paraId="1B909844" w14:textId="77777777" w:rsidR="00286612" w:rsidRDefault="0098156B" w:rsidP="006E1168">
      <w:pPr>
        <w:ind w:firstLine="709"/>
        <w:jc w:val="both"/>
      </w:pPr>
      <w:r w:rsidRPr="0098156B">
        <w:t xml:space="preserve">Data were processed and analyzed using the Wilcoxon comparison test. The results of the analysis of the reliability test with </w:t>
      </w:r>
      <w:proofErr w:type="spellStart"/>
      <w:r w:rsidRPr="0098156B">
        <w:t>Cronsbachalpha</w:t>
      </w:r>
      <w:proofErr w:type="spellEnd"/>
      <w:r w:rsidRPr="0098156B">
        <w:t xml:space="preserve"> above show that this analysis results = 0.764 &gt; 0.60. Thus, it can be concluded that this instrument's testing is reliable because with n = 37, and the confidence level α. = 0.05, the value obtained from the table r = 0.764, so that the table alpha value &gt; r </w:t>
      </w:r>
      <w:proofErr w:type="spellStart"/>
      <w:r w:rsidRPr="0098156B">
        <w:t>cronbach</w:t>
      </w:r>
      <w:proofErr w:type="spellEnd"/>
      <w:r w:rsidRPr="0098156B">
        <w:t>.</w:t>
      </w:r>
    </w:p>
    <w:p w14:paraId="2A4DC393" w14:textId="77777777" w:rsidR="00AC7D98" w:rsidRDefault="0098156B" w:rsidP="00AC7D98">
      <w:pPr>
        <w:spacing w:after="120"/>
        <w:ind w:firstLine="709"/>
        <w:jc w:val="both"/>
      </w:pPr>
      <w:r w:rsidRPr="0098156B">
        <w:t xml:space="preserve"> </w:t>
      </w:r>
    </w:p>
    <w:p w14:paraId="1E87B96D" w14:textId="0454B28D" w:rsidR="0098156B" w:rsidRPr="00D60F03" w:rsidRDefault="0098156B" w:rsidP="00AC7D98">
      <w:pPr>
        <w:ind w:firstLine="709"/>
        <w:jc w:val="center"/>
      </w:pPr>
      <w:proofErr w:type="gramStart"/>
      <w:r w:rsidRPr="00D60F03">
        <w:t>Table 1.</w:t>
      </w:r>
      <w:proofErr w:type="gramEnd"/>
      <w:r w:rsidRPr="00D60F03">
        <w:t xml:space="preserve"> Reliability test</w:t>
      </w:r>
    </w:p>
    <w:tbl>
      <w:tblPr>
        <w:tblW w:w="8716" w:type="dxa"/>
        <w:jc w:val="center"/>
        <w:tblInd w:w="-251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19"/>
        <w:gridCol w:w="4446"/>
        <w:gridCol w:w="1751"/>
      </w:tblGrid>
      <w:tr w:rsidR="0098156B" w:rsidRPr="00E140F7" w14:paraId="50F99558" w14:textId="77777777" w:rsidTr="00286612">
        <w:trPr>
          <w:jc w:val="center"/>
        </w:trPr>
        <w:tc>
          <w:tcPr>
            <w:tcW w:w="2519" w:type="dxa"/>
            <w:tcBorders>
              <w:top w:val="single" w:sz="4" w:space="0" w:color="auto"/>
              <w:left w:val="nil"/>
              <w:bottom w:val="single" w:sz="4" w:space="0" w:color="auto"/>
              <w:right w:val="nil"/>
            </w:tcBorders>
            <w:shd w:val="clear" w:color="auto" w:fill="FFFFFF"/>
            <w:vAlign w:val="bottom"/>
            <w:hideMark/>
          </w:tcPr>
          <w:p w14:paraId="57E14830" w14:textId="77777777" w:rsidR="0098156B" w:rsidRPr="00D60F03" w:rsidRDefault="0098156B" w:rsidP="001550B3">
            <w:pPr>
              <w:rPr>
                <w:sz w:val="16"/>
                <w:szCs w:val="16"/>
              </w:rPr>
            </w:pPr>
            <w:proofErr w:type="spellStart"/>
            <w:r w:rsidRPr="00D60F03">
              <w:rPr>
                <w:sz w:val="16"/>
                <w:szCs w:val="16"/>
              </w:rPr>
              <w:t>Cronbach's</w:t>
            </w:r>
            <w:proofErr w:type="spellEnd"/>
            <w:r w:rsidRPr="00D60F03">
              <w:rPr>
                <w:sz w:val="16"/>
                <w:szCs w:val="16"/>
              </w:rPr>
              <w:t xml:space="preserve"> Alpha</w:t>
            </w:r>
          </w:p>
        </w:tc>
        <w:tc>
          <w:tcPr>
            <w:tcW w:w="4446" w:type="dxa"/>
            <w:tcBorders>
              <w:top w:val="single" w:sz="4" w:space="0" w:color="auto"/>
              <w:left w:val="nil"/>
              <w:bottom w:val="single" w:sz="4" w:space="0" w:color="auto"/>
              <w:right w:val="nil"/>
            </w:tcBorders>
            <w:shd w:val="clear" w:color="auto" w:fill="FFFFFF"/>
            <w:vAlign w:val="bottom"/>
            <w:hideMark/>
          </w:tcPr>
          <w:p w14:paraId="789B3F1D" w14:textId="77777777" w:rsidR="0098156B" w:rsidRPr="00D60F03" w:rsidRDefault="0098156B" w:rsidP="001550B3">
            <w:pPr>
              <w:rPr>
                <w:sz w:val="16"/>
                <w:szCs w:val="16"/>
              </w:rPr>
            </w:pPr>
            <w:proofErr w:type="spellStart"/>
            <w:r w:rsidRPr="00D60F03">
              <w:rPr>
                <w:sz w:val="16"/>
                <w:szCs w:val="16"/>
              </w:rPr>
              <w:t>Cronbach's</w:t>
            </w:r>
            <w:proofErr w:type="spellEnd"/>
            <w:r w:rsidRPr="00D60F03">
              <w:rPr>
                <w:sz w:val="16"/>
                <w:szCs w:val="16"/>
              </w:rPr>
              <w:t xml:space="preserve"> Alpha Based on Standardized Items</w:t>
            </w:r>
          </w:p>
        </w:tc>
        <w:tc>
          <w:tcPr>
            <w:tcW w:w="1751" w:type="dxa"/>
            <w:tcBorders>
              <w:top w:val="single" w:sz="4" w:space="0" w:color="auto"/>
              <w:left w:val="nil"/>
              <w:bottom w:val="single" w:sz="4" w:space="0" w:color="auto"/>
              <w:right w:val="nil"/>
            </w:tcBorders>
            <w:shd w:val="clear" w:color="auto" w:fill="FFFFFF"/>
            <w:vAlign w:val="bottom"/>
            <w:hideMark/>
          </w:tcPr>
          <w:p w14:paraId="76D12807" w14:textId="77777777" w:rsidR="0098156B" w:rsidRPr="00D60F03" w:rsidRDefault="0098156B" w:rsidP="001550B3">
            <w:pPr>
              <w:rPr>
                <w:sz w:val="16"/>
                <w:szCs w:val="16"/>
              </w:rPr>
            </w:pPr>
            <w:r w:rsidRPr="00D60F03">
              <w:rPr>
                <w:sz w:val="16"/>
                <w:szCs w:val="16"/>
              </w:rPr>
              <w:t>N of Items</w:t>
            </w:r>
          </w:p>
        </w:tc>
      </w:tr>
      <w:tr w:rsidR="0098156B" w:rsidRPr="00E140F7" w14:paraId="3EA2A2C9" w14:textId="77777777" w:rsidTr="00286612">
        <w:trPr>
          <w:jc w:val="center"/>
        </w:trPr>
        <w:tc>
          <w:tcPr>
            <w:tcW w:w="2519" w:type="dxa"/>
            <w:tcBorders>
              <w:top w:val="single" w:sz="4" w:space="0" w:color="auto"/>
              <w:left w:val="nil"/>
              <w:bottom w:val="single" w:sz="4" w:space="0" w:color="auto"/>
              <w:right w:val="nil"/>
            </w:tcBorders>
            <w:shd w:val="clear" w:color="auto" w:fill="FFFFFF"/>
            <w:hideMark/>
          </w:tcPr>
          <w:p w14:paraId="11E3341A" w14:textId="77777777" w:rsidR="0098156B" w:rsidRPr="00D60F03" w:rsidRDefault="0098156B" w:rsidP="001550B3">
            <w:pPr>
              <w:rPr>
                <w:sz w:val="16"/>
                <w:szCs w:val="16"/>
              </w:rPr>
            </w:pPr>
            <w:r w:rsidRPr="00D60F03">
              <w:rPr>
                <w:sz w:val="16"/>
                <w:szCs w:val="16"/>
              </w:rPr>
              <w:t>.764</w:t>
            </w:r>
          </w:p>
        </w:tc>
        <w:tc>
          <w:tcPr>
            <w:tcW w:w="4446" w:type="dxa"/>
            <w:tcBorders>
              <w:top w:val="single" w:sz="4" w:space="0" w:color="auto"/>
              <w:left w:val="nil"/>
              <w:bottom w:val="single" w:sz="4" w:space="0" w:color="auto"/>
              <w:right w:val="nil"/>
            </w:tcBorders>
            <w:shd w:val="clear" w:color="auto" w:fill="FFFFFF"/>
            <w:hideMark/>
          </w:tcPr>
          <w:p w14:paraId="545288D5" w14:textId="77777777" w:rsidR="0098156B" w:rsidRPr="00D60F03" w:rsidRDefault="0098156B" w:rsidP="001550B3">
            <w:pPr>
              <w:rPr>
                <w:sz w:val="16"/>
                <w:szCs w:val="16"/>
              </w:rPr>
            </w:pPr>
            <w:r w:rsidRPr="00D60F03">
              <w:rPr>
                <w:sz w:val="16"/>
                <w:szCs w:val="16"/>
              </w:rPr>
              <w:t>.774</w:t>
            </w:r>
          </w:p>
        </w:tc>
        <w:tc>
          <w:tcPr>
            <w:tcW w:w="1751" w:type="dxa"/>
            <w:tcBorders>
              <w:top w:val="single" w:sz="4" w:space="0" w:color="auto"/>
              <w:left w:val="nil"/>
              <w:bottom w:val="single" w:sz="4" w:space="0" w:color="auto"/>
              <w:right w:val="nil"/>
            </w:tcBorders>
            <w:shd w:val="clear" w:color="auto" w:fill="FFFFFF"/>
            <w:hideMark/>
          </w:tcPr>
          <w:p w14:paraId="7D5846D7" w14:textId="77777777" w:rsidR="0098156B" w:rsidRPr="00D60F03" w:rsidRDefault="0098156B" w:rsidP="001550B3">
            <w:pPr>
              <w:rPr>
                <w:sz w:val="16"/>
                <w:szCs w:val="16"/>
              </w:rPr>
            </w:pPr>
            <w:r w:rsidRPr="00D60F03">
              <w:rPr>
                <w:sz w:val="16"/>
                <w:szCs w:val="16"/>
              </w:rPr>
              <w:t>2</w:t>
            </w:r>
          </w:p>
        </w:tc>
      </w:tr>
    </w:tbl>
    <w:p w14:paraId="004BDC74" w14:textId="77777777" w:rsidR="0098156B" w:rsidRDefault="0098156B" w:rsidP="0098156B">
      <w:r w:rsidRPr="00E140F7">
        <w:t>The normality test results by Kolmogorov Smirnov (table 2) show the results of Sig. (p-value), where p value&gt; alpha (5%)</w:t>
      </w:r>
    </w:p>
    <w:p w14:paraId="40527E06" w14:textId="77777777" w:rsidR="00AC7D98" w:rsidRDefault="00AC7D98" w:rsidP="00AC7D98"/>
    <w:p w14:paraId="4D62799D" w14:textId="77777777" w:rsidR="0098156B" w:rsidRPr="00E140F7" w:rsidRDefault="0098156B" w:rsidP="00AC7D98">
      <w:pPr>
        <w:jc w:val="center"/>
      </w:pPr>
      <w:proofErr w:type="gramStart"/>
      <w:r w:rsidRPr="00E140F7">
        <w:lastRenderedPageBreak/>
        <w:t>Table 2.</w:t>
      </w:r>
      <w:proofErr w:type="gramEnd"/>
      <w:r w:rsidRPr="00E140F7">
        <w:t xml:space="preserve"> Tests of normality</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95"/>
        <w:gridCol w:w="2039"/>
        <w:gridCol w:w="977"/>
        <w:gridCol w:w="4678"/>
      </w:tblGrid>
      <w:tr w:rsidR="0098156B" w:rsidRPr="008C353E" w14:paraId="799A2FD0" w14:textId="77777777" w:rsidTr="00286612">
        <w:trPr>
          <w:cantSplit/>
        </w:trPr>
        <w:tc>
          <w:tcPr>
            <w:tcW w:w="1095" w:type="dxa"/>
            <w:vMerge w:val="restart"/>
            <w:tcBorders>
              <w:top w:val="nil"/>
              <w:left w:val="nil"/>
              <w:bottom w:val="nil"/>
              <w:right w:val="nil"/>
            </w:tcBorders>
            <w:shd w:val="clear" w:color="auto" w:fill="auto"/>
            <w:vAlign w:val="bottom"/>
          </w:tcPr>
          <w:p w14:paraId="55E06229" w14:textId="77777777" w:rsidR="0098156B" w:rsidRPr="00D60F03" w:rsidRDefault="0098156B" w:rsidP="001550B3">
            <w:pPr>
              <w:rPr>
                <w:sz w:val="16"/>
                <w:szCs w:val="16"/>
              </w:rPr>
            </w:pPr>
          </w:p>
        </w:tc>
        <w:tc>
          <w:tcPr>
            <w:tcW w:w="7694" w:type="dxa"/>
            <w:gridSpan w:val="3"/>
            <w:tcBorders>
              <w:top w:val="nil"/>
              <w:left w:val="nil"/>
              <w:bottom w:val="nil"/>
              <w:right w:val="nil"/>
            </w:tcBorders>
            <w:shd w:val="clear" w:color="auto" w:fill="auto"/>
            <w:vAlign w:val="bottom"/>
            <w:hideMark/>
          </w:tcPr>
          <w:p w14:paraId="1C22AED7" w14:textId="77777777" w:rsidR="0098156B" w:rsidRPr="00D60F03" w:rsidRDefault="0098156B" w:rsidP="001550B3">
            <w:pPr>
              <w:rPr>
                <w:sz w:val="16"/>
                <w:szCs w:val="16"/>
              </w:rPr>
            </w:pPr>
            <w:r w:rsidRPr="00D60F03">
              <w:rPr>
                <w:sz w:val="16"/>
                <w:szCs w:val="16"/>
              </w:rPr>
              <w:t>Kolmogorov-</w:t>
            </w:r>
            <w:proofErr w:type="spellStart"/>
            <w:r w:rsidRPr="00D60F03">
              <w:rPr>
                <w:sz w:val="16"/>
                <w:szCs w:val="16"/>
              </w:rPr>
              <w:t>Smirnova</w:t>
            </w:r>
            <w:proofErr w:type="spellEnd"/>
          </w:p>
        </w:tc>
      </w:tr>
      <w:tr w:rsidR="0098156B" w:rsidRPr="008C353E" w14:paraId="05E2202C" w14:textId="77777777" w:rsidTr="00286612">
        <w:trPr>
          <w:cantSplit/>
          <w:trHeight w:val="333"/>
        </w:trPr>
        <w:tc>
          <w:tcPr>
            <w:tcW w:w="1095" w:type="dxa"/>
            <w:vMerge/>
            <w:tcBorders>
              <w:top w:val="nil"/>
              <w:left w:val="nil"/>
              <w:bottom w:val="nil"/>
              <w:right w:val="nil"/>
            </w:tcBorders>
            <w:shd w:val="clear" w:color="auto" w:fill="auto"/>
            <w:vAlign w:val="center"/>
            <w:hideMark/>
          </w:tcPr>
          <w:p w14:paraId="2B294A3B" w14:textId="77777777" w:rsidR="0098156B" w:rsidRPr="00D60F03" w:rsidRDefault="0098156B" w:rsidP="001550B3">
            <w:pPr>
              <w:rPr>
                <w:sz w:val="16"/>
                <w:szCs w:val="16"/>
              </w:rPr>
            </w:pPr>
          </w:p>
        </w:tc>
        <w:tc>
          <w:tcPr>
            <w:tcW w:w="2039" w:type="dxa"/>
            <w:tcBorders>
              <w:top w:val="nil"/>
              <w:left w:val="nil"/>
              <w:bottom w:val="nil"/>
              <w:right w:val="nil"/>
            </w:tcBorders>
            <w:shd w:val="clear" w:color="auto" w:fill="auto"/>
            <w:vAlign w:val="bottom"/>
            <w:hideMark/>
          </w:tcPr>
          <w:p w14:paraId="6A118316" w14:textId="77777777" w:rsidR="0098156B" w:rsidRPr="00D60F03" w:rsidRDefault="0098156B" w:rsidP="001550B3">
            <w:pPr>
              <w:rPr>
                <w:sz w:val="16"/>
                <w:szCs w:val="16"/>
              </w:rPr>
            </w:pPr>
            <w:r w:rsidRPr="00D60F03">
              <w:rPr>
                <w:sz w:val="16"/>
                <w:szCs w:val="16"/>
              </w:rPr>
              <w:t>Statistic</w:t>
            </w:r>
          </w:p>
        </w:tc>
        <w:tc>
          <w:tcPr>
            <w:tcW w:w="977" w:type="dxa"/>
            <w:tcBorders>
              <w:top w:val="nil"/>
              <w:left w:val="nil"/>
              <w:bottom w:val="nil"/>
              <w:right w:val="nil"/>
            </w:tcBorders>
            <w:shd w:val="clear" w:color="auto" w:fill="auto"/>
            <w:vAlign w:val="bottom"/>
            <w:hideMark/>
          </w:tcPr>
          <w:p w14:paraId="3CDED209" w14:textId="77777777" w:rsidR="0098156B" w:rsidRPr="00D60F03" w:rsidRDefault="0098156B" w:rsidP="001550B3">
            <w:pPr>
              <w:rPr>
                <w:sz w:val="16"/>
                <w:szCs w:val="16"/>
              </w:rPr>
            </w:pPr>
            <w:proofErr w:type="spellStart"/>
            <w:r w:rsidRPr="00D60F03">
              <w:rPr>
                <w:sz w:val="16"/>
                <w:szCs w:val="16"/>
              </w:rPr>
              <w:t>df</w:t>
            </w:r>
            <w:proofErr w:type="spellEnd"/>
          </w:p>
        </w:tc>
        <w:tc>
          <w:tcPr>
            <w:tcW w:w="4678" w:type="dxa"/>
            <w:tcBorders>
              <w:top w:val="nil"/>
              <w:left w:val="nil"/>
              <w:bottom w:val="nil"/>
              <w:right w:val="nil"/>
            </w:tcBorders>
            <w:shd w:val="clear" w:color="auto" w:fill="auto"/>
            <w:vAlign w:val="bottom"/>
            <w:hideMark/>
          </w:tcPr>
          <w:p w14:paraId="4B2C8473" w14:textId="77777777" w:rsidR="0098156B" w:rsidRPr="00D60F03" w:rsidRDefault="0098156B" w:rsidP="001550B3">
            <w:pPr>
              <w:rPr>
                <w:sz w:val="16"/>
                <w:szCs w:val="16"/>
              </w:rPr>
            </w:pPr>
            <w:r w:rsidRPr="00D60F03">
              <w:rPr>
                <w:sz w:val="16"/>
                <w:szCs w:val="16"/>
              </w:rPr>
              <w:t>Sig.</w:t>
            </w:r>
          </w:p>
        </w:tc>
      </w:tr>
      <w:tr w:rsidR="0098156B" w:rsidRPr="008C353E" w14:paraId="164F8F1F" w14:textId="77777777" w:rsidTr="00286612">
        <w:trPr>
          <w:cantSplit/>
        </w:trPr>
        <w:tc>
          <w:tcPr>
            <w:tcW w:w="1095" w:type="dxa"/>
            <w:tcBorders>
              <w:top w:val="nil"/>
              <w:left w:val="nil"/>
              <w:bottom w:val="nil"/>
              <w:right w:val="nil"/>
            </w:tcBorders>
            <w:shd w:val="clear" w:color="auto" w:fill="auto"/>
            <w:hideMark/>
          </w:tcPr>
          <w:p w14:paraId="4EF8FD25" w14:textId="77777777" w:rsidR="0098156B" w:rsidRPr="00D60F03" w:rsidRDefault="0098156B" w:rsidP="001550B3">
            <w:pPr>
              <w:rPr>
                <w:sz w:val="16"/>
                <w:szCs w:val="16"/>
              </w:rPr>
            </w:pPr>
            <w:r w:rsidRPr="00D60F03">
              <w:rPr>
                <w:sz w:val="16"/>
                <w:szCs w:val="16"/>
              </w:rPr>
              <w:t>Pre-Test</w:t>
            </w:r>
          </w:p>
        </w:tc>
        <w:tc>
          <w:tcPr>
            <w:tcW w:w="2039" w:type="dxa"/>
            <w:tcBorders>
              <w:top w:val="nil"/>
              <w:left w:val="nil"/>
              <w:bottom w:val="nil"/>
              <w:right w:val="nil"/>
            </w:tcBorders>
            <w:shd w:val="clear" w:color="auto" w:fill="auto"/>
            <w:hideMark/>
          </w:tcPr>
          <w:p w14:paraId="41144105" w14:textId="77777777" w:rsidR="0098156B" w:rsidRPr="00D60F03" w:rsidRDefault="0098156B" w:rsidP="001550B3">
            <w:pPr>
              <w:rPr>
                <w:sz w:val="16"/>
                <w:szCs w:val="16"/>
              </w:rPr>
            </w:pPr>
            <w:r w:rsidRPr="00D60F03">
              <w:rPr>
                <w:sz w:val="16"/>
                <w:szCs w:val="16"/>
              </w:rPr>
              <w:t>.132</w:t>
            </w:r>
          </w:p>
        </w:tc>
        <w:tc>
          <w:tcPr>
            <w:tcW w:w="977" w:type="dxa"/>
            <w:tcBorders>
              <w:top w:val="nil"/>
              <w:left w:val="nil"/>
              <w:bottom w:val="nil"/>
              <w:right w:val="nil"/>
            </w:tcBorders>
            <w:shd w:val="clear" w:color="auto" w:fill="auto"/>
            <w:hideMark/>
          </w:tcPr>
          <w:p w14:paraId="410F28B8" w14:textId="77777777" w:rsidR="0098156B" w:rsidRPr="00D60F03" w:rsidRDefault="0098156B" w:rsidP="001550B3">
            <w:pPr>
              <w:rPr>
                <w:sz w:val="16"/>
                <w:szCs w:val="16"/>
              </w:rPr>
            </w:pPr>
            <w:r w:rsidRPr="00D60F03">
              <w:rPr>
                <w:sz w:val="16"/>
                <w:szCs w:val="16"/>
              </w:rPr>
              <w:t>37</w:t>
            </w:r>
          </w:p>
        </w:tc>
        <w:tc>
          <w:tcPr>
            <w:tcW w:w="4678" w:type="dxa"/>
            <w:tcBorders>
              <w:top w:val="nil"/>
              <w:left w:val="nil"/>
              <w:bottom w:val="nil"/>
              <w:right w:val="nil"/>
            </w:tcBorders>
            <w:shd w:val="clear" w:color="auto" w:fill="auto"/>
            <w:hideMark/>
          </w:tcPr>
          <w:p w14:paraId="7D99F4C1" w14:textId="77777777" w:rsidR="0098156B" w:rsidRPr="00D60F03" w:rsidRDefault="0098156B" w:rsidP="001550B3">
            <w:pPr>
              <w:rPr>
                <w:sz w:val="16"/>
                <w:szCs w:val="16"/>
              </w:rPr>
            </w:pPr>
            <w:r w:rsidRPr="00D60F03">
              <w:rPr>
                <w:sz w:val="16"/>
                <w:szCs w:val="16"/>
              </w:rPr>
              <w:t>.103</w:t>
            </w:r>
          </w:p>
        </w:tc>
      </w:tr>
      <w:tr w:rsidR="0098156B" w:rsidRPr="008C353E" w14:paraId="1B4D94BB" w14:textId="77777777" w:rsidTr="00286612">
        <w:trPr>
          <w:cantSplit/>
        </w:trPr>
        <w:tc>
          <w:tcPr>
            <w:tcW w:w="1095" w:type="dxa"/>
            <w:tcBorders>
              <w:top w:val="nil"/>
              <w:left w:val="nil"/>
              <w:bottom w:val="nil"/>
              <w:right w:val="nil"/>
            </w:tcBorders>
            <w:shd w:val="clear" w:color="auto" w:fill="auto"/>
            <w:hideMark/>
          </w:tcPr>
          <w:p w14:paraId="0532473F" w14:textId="77777777" w:rsidR="0098156B" w:rsidRPr="00D60F03" w:rsidRDefault="0098156B" w:rsidP="001550B3">
            <w:pPr>
              <w:rPr>
                <w:sz w:val="16"/>
                <w:szCs w:val="16"/>
              </w:rPr>
            </w:pPr>
            <w:r w:rsidRPr="00D60F03">
              <w:rPr>
                <w:sz w:val="16"/>
                <w:szCs w:val="16"/>
              </w:rPr>
              <w:t>Post-Test</w:t>
            </w:r>
          </w:p>
        </w:tc>
        <w:tc>
          <w:tcPr>
            <w:tcW w:w="2039" w:type="dxa"/>
            <w:tcBorders>
              <w:top w:val="nil"/>
              <w:left w:val="nil"/>
              <w:bottom w:val="nil"/>
              <w:right w:val="nil"/>
            </w:tcBorders>
            <w:shd w:val="clear" w:color="auto" w:fill="auto"/>
            <w:hideMark/>
          </w:tcPr>
          <w:p w14:paraId="74E3EB17" w14:textId="77777777" w:rsidR="0098156B" w:rsidRPr="00D60F03" w:rsidRDefault="0098156B" w:rsidP="001550B3">
            <w:pPr>
              <w:rPr>
                <w:sz w:val="16"/>
                <w:szCs w:val="16"/>
              </w:rPr>
            </w:pPr>
            <w:r w:rsidRPr="00D60F03">
              <w:rPr>
                <w:sz w:val="16"/>
                <w:szCs w:val="16"/>
              </w:rPr>
              <w:t>.133</w:t>
            </w:r>
          </w:p>
        </w:tc>
        <w:tc>
          <w:tcPr>
            <w:tcW w:w="977" w:type="dxa"/>
            <w:tcBorders>
              <w:top w:val="nil"/>
              <w:left w:val="nil"/>
              <w:bottom w:val="nil"/>
              <w:right w:val="nil"/>
            </w:tcBorders>
            <w:shd w:val="clear" w:color="auto" w:fill="auto"/>
            <w:hideMark/>
          </w:tcPr>
          <w:p w14:paraId="66BEBBD4" w14:textId="77777777" w:rsidR="0098156B" w:rsidRPr="00D60F03" w:rsidRDefault="0098156B" w:rsidP="001550B3">
            <w:pPr>
              <w:rPr>
                <w:sz w:val="16"/>
                <w:szCs w:val="16"/>
              </w:rPr>
            </w:pPr>
            <w:r w:rsidRPr="00D60F03">
              <w:rPr>
                <w:sz w:val="16"/>
                <w:szCs w:val="16"/>
              </w:rPr>
              <w:t>37</w:t>
            </w:r>
          </w:p>
        </w:tc>
        <w:tc>
          <w:tcPr>
            <w:tcW w:w="4678" w:type="dxa"/>
            <w:tcBorders>
              <w:top w:val="nil"/>
              <w:left w:val="nil"/>
              <w:bottom w:val="nil"/>
              <w:right w:val="nil"/>
            </w:tcBorders>
            <w:shd w:val="clear" w:color="auto" w:fill="auto"/>
            <w:hideMark/>
          </w:tcPr>
          <w:p w14:paraId="3E389233" w14:textId="77777777" w:rsidR="0098156B" w:rsidRPr="00D60F03" w:rsidRDefault="0098156B" w:rsidP="001550B3">
            <w:pPr>
              <w:rPr>
                <w:sz w:val="16"/>
                <w:szCs w:val="16"/>
              </w:rPr>
            </w:pPr>
            <w:r w:rsidRPr="00D60F03">
              <w:rPr>
                <w:sz w:val="16"/>
                <w:szCs w:val="16"/>
              </w:rPr>
              <w:t>.095</w:t>
            </w:r>
          </w:p>
        </w:tc>
      </w:tr>
      <w:tr w:rsidR="0098156B" w:rsidRPr="008C353E" w14:paraId="2AE644A4" w14:textId="77777777" w:rsidTr="00286612">
        <w:trPr>
          <w:cantSplit/>
        </w:trPr>
        <w:tc>
          <w:tcPr>
            <w:tcW w:w="8789" w:type="dxa"/>
            <w:gridSpan w:val="4"/>
            <w:tcBorders>
              <w:top w:val="nil"/>
              <w:left w:val="nil"/>
              <w:bottom w:val="nil"/>
              <w:right w:val="nil"/>
            </w:tcBorders>
            <w:shd w:val="clear" w:color="auto" w:fill="auto"/>
            <w:hideMark/>
          </w:tcPr>
          <w:p w14:paraId="0A4F9A7C" w14:textId="77777777" w:rsidR="0098156B" w:rsidRPr="00D60F03" w:rsidRDefault="0098156B" w:rsidP="001550B3">
            <w:pPr>
              <w:rPr>
                <w:sz w:val="16"/>
                <w:szCs w:val="16"/>
              </w:rPr>
            </w:pPr>
            <w:proofErr w:type="spellStart"/>
            <w:r w:rsidRPr="00D60F03">
              <w:rPr>
                <w:sz w:val="16"/>
                <w:szCs w:val="16"/>
              </w:rPr>
              <w:t>Lilliefors</w:t>
            </w:r>
            <w:proofErr w:type="spellEnd"/>
            <w:r w:rsidRPr="00D60F03">
              <w:rPr>
                <w:sz w:val="16"/>
                <w:szCs w:val="16"/>
              </w:rPr>
              <w:t xml:space="preserve"> Significance Correction</w:t>
            </w:r>
          </w:p>
        </w:tc>
      </w:tr>
    </w:tbl>
    <w:p w14:paraId="5EE406E4" w14:textId="77777777" w:rsidR="0098156B" w:rsidRDefault="0098156B" w:rsidP="0098156B">
      <w:pPr>
        <w:jc w:val="both"/>
        <w:rPr>
          <w:rFonts w:asciiTheme="minorHAnsi" w:hAnsiTheme="minorHAnsi" w:cstheme="minorHAnsi"/>
        </w:rPr>
      </w:pPr>
    </w:p>
    <w:p w14:paraId="6CE94552" w14:textId="77777777" w:rsidR="0098156B" w:rsidRPr="00D60F03" w:rsidRDefault="0098156B" w:rsidP="00D60F03">
      <w:pPr>
        <w:ind w:firstLine="709"/>
        <w:jc w:val="both"/>
      </w:pPr>
      <w:r w:rsidRPr="00D60F03">
        <w:t>This research design was a single group design with the application of pre-test and post-test. The implementation steps were as follows: First, the </w:t>
      </w:r>
      <w:proofErr w:type="spellStart"/>
      <w:r w:rsidRPr="00D60F03">
        <w:rPr>
          <w:i/>
          <w:iCs/>
        </w:rPr>
        <w:t>Sprechfertigkeit</w:t>
      </w:r>
      <w:proofErr w:type="spellEnd"/>
      <w:r w:rsidRPr="00D60F03">
        <w:t> 2 lecture material was given to students without applying the steps of the educational game learning model "</w:t>
      </w:r>
      <w:proofErr w:type="spellStart"/>
      <w:r w:rsidRPr="00D60F03">
        <w:rPr>
          <w:i/>
        </w:rPr>
        <w:t>Kahoot</w:t>
      </w:r>
      <w:proofErr w:type="spellEnd"/>
      <w:r w:rsidRPr="00D60F03">
        <w:rPr>
          <w:i/>
        </w:rPr>
        <w:t>!</w:t>
      </w:r>
      <w:proofErr w:type="gramStart"/>
      <w:r w:rsidRPr="00D60F03">
        <w:t>".</w:t>
      </w:r>
      <w:proofErr w:type="gramEnd"/>
      <w:r w:rsidRPr="00D60F03">
        <w:t xml:space="preserve"> The second was conducting a pre-test to measure the </w:t>
      </w:r>
      <w:proofErr w:type="spellStart"/>
      <w:r w:rsidRPr="00D60F03">
        <w:rPr>
          <w:i/>
          <w:iCs/>
        </w:rPr>
        <w:t>Sprechfertigkeit</w:t>
      </w:r>
      <w:proofErr w:type="spellEnd"/>
      <w:r w:rsidRPr="00D60F03">
        <w:t> 2 ability. The third was providing learning materials for the </w:t>
      </w:r>
      <w:proofErr w:type="spellStart"/>
      <w:r w:rsidRPr="00D60F03">
        <w:rPr>
          <w:i/>
          <w:iCs/>
        </w:rPr>
        <w:t>Sprechfertigkeit</w:t>
      </w:r>
      <w:proofErr w:type="spellEnd"/>
      <w:r w:rsidRPr="00D60F03">
        <w:t> 2 course by applying the educational game "</w:t>
      </w:r>
      <w:proofErr w:type="spellStart"/>
      <w:r w:rsidRPr="00D60F03">
        <w:rPr>
          <w:i/>
        </w:rPr>
        <w:t>Kahoot</w:t>
      </w:r>
      <w:proofErr w:type="spellEnd"/>
      <w:r w:rsidRPr="00D60F03">
        <w:rPr>
          <w:i/>
        </w:rPr>
        <w:t>!</w:t>
      </w:r>
      <w:r w:rsidRPr="00D60F03">
        <w:t>" to students. The fourth was the implementation of the post-test. The pre-test and post-test results were analyzed using the test (T-test) to measure the difference between the 2 test results, with the following criteria: If the value of t &gt; t table, it can be concluded that there is a significant difference between the pre-test and post-test.</w:t>
      </w:r>
    </w:p>
    <w:p w14:paraId="5E411565" w14:textId="77777777" w:rsidR="0098156B" w:rsidRPr="00D60F03" w:rsidRDefault="0098156B" w:rsidP="0098156B">
      <w:pPr>
        <w:tabs>
          <w:tab w:val="left" w:pos="426"/>
        </w:tabs>
        <w:rPr>
          <w:b/>
          <w:bCs/>
        </w:rPr>
      </w:pPr>
    </w:p>
    <w:p w14:paraId="394278D3" w14:textId="1D4BEAD8" w:rsidR="00C12E13" w:rsidRPr="00C12E13" w:rsidRDefault="00F913D6" w:rsidP="00C12E13">
      <w:pPr>
        <w:numPr>
          <w:ilvl w:val="0"/>
          <w:numId w:val="18"/>
        </w:numPr>
        <w:tabs>
          <w:tab w:val="left" w:pos="426"/>
        </w:tabs>
        <w:ind w:left="426" w:hanging="426"/>
        <w:rPr>
          <w:b/>
          <w:bCs/>
          <w:lang w:val="id-ID"/>
        </w:rPr>
      </w:pPr>
      <w:r>
        <w:rPr>
          <w:b/>
          <w:bCs/>
          <w:lang w:val="id-ID"/>
        </w:rPr>
        <w:t xml:space="preserve">RESULTS </w:t>
      </w:r>
      <w:r>
        <w:rPr>
          <w:b/>
          <w:bCs/>
        </w:rPr>
        <w:t>A</w:t>
      </w:r>
      <w:r w:rsidR="00C12E13">
        <w:rPr>
          <w:b/>
          <w:bCs/>
          <w:lang w:val="id-ID"/>
        </w:rPr>
        <w:t xml:space="preserve">ND </w:t>
      </w:r>
      <w:r w:rsidR="00C12E13" w:rsidRPr="00C12E13">
        <w:rPr>
          <w:b/>
          <w:bCs/>
          <w:lang w:val="id-ID"/>
        </w:rPr>
        <w:t>DISCUSSION</w:t>
      </w:r>
    </w:p>
    <w:p w14:paraId="162A3A32" w14:textId="77777777" w:rsidR="00D60F03" w:rsidRDefault="00D60F03" w:rsidP="00D60F03">
      <w:pPr>
        <w:ind w:firstLine="709"/>
        <w:jc w:val="both"/>
      </w:pPr>
      <w:r w:rsidRPr="00D60F03">
        <w:t>This study's data were data related to student learning outcomes, which were used as samples in the </w:t>
      </w:r>
      <w:proofErr w:type="spellStart"/>
      <w:r w:rsidRPr="00D60F03">
        <w:rPr>
          <w:i/>
          <w:iCs/>
        </w:rPr>
        <w:t>Sprechfertigkeit</w:t>
      </w:r>
      <w:proofErr w:type="spellEnd"/>
      <w:r w:rsidRPr="00D60F03">
        <w:t> 2 course, before and after the application of the educational game learning model "</w:t>
      </w:r>
      <w:proofErr w:type="spellStart"/>
      <w:r w:rsidRPr="00D60F03">
        <w:rPr>
          <w:i/>
        </w:rPr>
        <w:t>Kahoot</w:t>
      </w:r>
      <w:proofErr w:type="spellEnd"/>
      <w:r w:rsidRPr="00D60F03">
        <w:rPr>
          <w:i/>
        </w:rPr>
        <w:t>!</w:t>
      </w:r>
      <w:r w:rsidRPr="00D60F03">
        <w:t xml:space="preserve">," which was done through pre-test and post-test. In proving the research hypothesis, the research data were processed and analyzed using the Wilcoxon test to measure the difference between the learning outcomes of the 2 tests. </w:t>
      </w:r>
    </w:p>
    <w:p w14:paraId="3BBC5799" w14:textId="6D074A3B" w:rsidR="00D60F03" w:rsidRPr="00D60F03" w:rsidRDefault="00D60F03" w:rsidP="00D60F03">
      <w:pPr>
        <w:ind w:firstLine="709"/>
        <w:jc w:val="both"/>
      </w:pPr>
      <w:r w:rsidRPr="00D60F03">
        <w:t>The results of the pre-test learning conducted showed that the value of 86 = 1 (one) student, the value of 84 = 3 (three) students, the value of 80 = 3 (three) students, the value of 83 = 1 (one) student and the value of 78 = 4 ( four) students, the value of 76 = 3 (three) students, the value of 74 = 2 (two) students, the value of 72 = 2 (two) students, the value of 70 = 1 (one) student, the value of 68 = 1 (one) student, the value 66 = 2 (two) students, 64 = 4 (four) students, 62 = 2 (two) students, 60 = 3 (three) students, 58 = 2 (two) students, and 56 = 3 ( three) students. From the data above, the highest score achieved was 86 by 1 (one) student, and the lowest score achieved was 56 by 3 (three) students. The average score obtained by students from the pre-test results was 70.43.Meanwhile, the results of the post-test learning showed that the value of 100 = 3 (three) students, the value of 98 = 2 (two) students, the value of 96 = 1 (one) student, the value of 94 = 2 (two) students, the value of 92 = 6 (six) students, score 90 = 5 (five) students, score 88 = 1 (one) student, score 86 = 4 (four) students, score 84 = 4 (four) students, score 82 = 1 (one) student, the value of 80 = 1 (one) student, the value of 78 = 3 (three) students, the value of 76 = 1 (one) student, and the value of 74 = 3 (three) students. The highest score achieved was 100 by 3 (three) students, and the lowest score achieved was 74 by 3 (three) students. The average score obtained by students from the post-test results = 87.67. Based on the pre-test and post-test learning result data above, the data was then processed and analyzed by the Wilcoxon test. The results of processing and data analysis with different Wilcoxon tests can be implemented in table 2 below.</w:t>
      </w:r>
    </w:p>
    <w:p w14:paraId="6AAB6D11" w14:textId="77777777" w:rsidR="00D60F03" w:rsidRPr="00A1333F" w:rsidRDefault="00D60F03" w:rsidP="00A1333F">
      <w:pPr>
        <w:ind w:right="858"/>
        <w:jc w:val="center"/>
      </w:pPr>
      <w:proofErr w:type="gramStart"/>
      <w:r w:rsidRPr="00A1333F">
        <w:t>Table 3.</w:t>
      </w:r>
      <w:proofErr w:type="gramEnd"/>
      <w:r w:rsidRPr="00A1333F">
        <w:t xml:space="preserve"> Summary item statistics</w:t>
      </w:r>
    </w:p>
    <w:tbl>
      <w:tblPr>
        <w:tblW w:w="8789"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80"/>
        <w:gridCol w:w="720"/>
        <w:gridCol w:w="900"/>
        <w:gridCol w:w="990"/>
        <w:gridCol w:w="720"/>
        <w:gridCol w:w="1920"/>
        <w:gridCol w:w="850"/>
        <w:gridCol w:w="709"/>
      </w:tblGrid>
      <w:tr w:rsidR="00D60F03" w:rsidRPr="00201FF8" w14:paraId="333F3E14" w14:textId="77777777" w:rsidTr="004C531D">
        <w:trPr>
          <w:cantSplit/>
        </w:trPr>
        <w:tc>
          <w:tcPr>
            <w:tcW w:w="1980" w:type="dxa"/>
            <w:tcBorders>
              <w:top w:val="single" w:sz="4" w:space="0" w:color="auto"/>
              <w:left w:val="nil"/>
              <w:bottom w:val="single" w:sz="4" w:space="0" w:color="auto"/>
              <w:right w:val="nil"/>
            </w:tcBorders>
            <w:shd w:val="clear" w:color="auto" w:fill="auto"/>
            <w:vAlign w:val="bottom"/>
          </w:tcPr>
          <w:p w14:paraId="4D841186" w14:textId="77777777" w:rsidR="00D60F03" w:rsidRPr="00D60F03" w:rsidRDefault="00D60F03" w:rsidP="001550B3">
            <w:pPr>
              <w:rPr>
                <w:sz w:val="16"/>
                <w:szCs w:val="16"/>
              </w:rPr>
            </w:pPr>
          </w:p>
        </w:tc>
        <w:tc>
          <w:tcPr>
            <w:tcW w:w="720" w:type="dxa"/>
            <w:tcBorders>
              <w:top w:val="single" w:sz="4" w:space="0" w:color="auto"/>
              <w:left w:val="nil"/>
              <w:bottom w:val="single" w:sz="4" w:space="0" w:color="auto"/>
              <w:right w:val="nil"/>
            </w:tcBorders>
            <w:shd w:val="clear" w:color="auto" w:fill="auto"/>
            <w:vAlign w:val="bottom"/>
            <w:hideMark/>
          </w:tcPr>
          <w:p w14:paraId="5EA10E2E" w14:textId="77777777" w:rsidR="00D60F03" w:rsidRPr="00D60F03" w:rsidRDefault="00D60F03" w:rsidP="001550B3">
            <w:pPr>
              <w:rPr>
                <w:sz w:val="16"/>
                <w:szCs w:val="16"/>
              </w:rPr>
            </w:pPr>
            <w:r w:rsidRPr="00D60F03">
              <w:rPr>
                <w:sz w:val="16"/>
                <w:szCs w:val="16"/>
              </w:rPr>
              <w:t>Mean</w:t>
            </w:r>
          </w:p>
        </w:tc>
        <w:tc>
          <w:tcPr>
            <w:tcW w:w="900" w:type="dxa"/>
            <w:tcBorders>
              <w:top w:val="single" w:sz="4" w:space="0" w:color="auto"/>
              <w:left w:val="nil"/>
              <w:bottom w:val="single" w:sz="4" w:space="0" w:color="auto"/>
              <w:right w:val="nil"/>
            </w:tcBorders>
            <w:shd w:val="clear" w:color="auto" w:fill="auto"/>
            <w:vAlign w:val="bottom"/>
            <w:hideMark/>
          </w:tcPr>
          <w:p w14:paraId="63A9E602" w14:textId="77777777" w:rsidR="00D60F03" w:rsidRPr="00D60F03" w:rsidRDefault="00D60F03" w:rsidP="001550B3">
            <w:pPr>
              <w:rPr>
                <w:sz w:val="16"/>
                <w:szCs w:val="16"/>
              </w:rPr>
            </w:pPr>
            <w:r w:rsidRPr="00D60F03">
              <w:rPr>
                <w:sz w:val="16"/>
                <w:szCs w:val="16"/>
              </w:rPr>
              <w:t>Minimum</w:t>
            </w:r>
          </w:p>
        </w:tc>
        <w:tc>
          <w:tcPr>
            <w:tcW w:w="990" w:type="dxa"/>
            <w:tcBorders>
              <w:top w:val="single" w:sz="4" w:space="0" w:color="auto"/>
              <w:left w:val="nil"/>
              <w:bottom w:val="single" w:sz="4" w:space="0" w:color="auto"/>
              <w:right w:val="nil"/>
            </w:tcBorders>
            <w:shd w:val="clear" w:color="auto" w:fill="auto"/>
            <w:vAlign w:val="bottom"/>
            <w:hideMark/>
          </w:tcPr>
          <w:p w14:paraId="07E9B8C4" w14:textId="77777777" w:rsidR="00D60F03" w:rsidRPr="00D60F03" w:rsidRDefault="00D60F03" w:rsidP="001550B3">
            <w:pPr>
              <w:rPr>
                <w:sz w:val="16"/>
                <w:szCs w:val="16"/>
              </w:rPr>
            </w:pPr>
            <w:r w:rsidRPr="00D60F03">
              <w:rPr>
                <w:sz w:val="16"/>
                <w:szCs w:val="16"/>
              </w:rPr>
              <w:t>Maximum</w:t>
            </w:r>
          </w:p>
        </w:tc>
        <w:tc>
          <w:tcPr>
            <w:tcW w:w="720" w:type="dxa"/>
            <w:tcBorders>
              <w:top w:val="single" w:sz="4" w:space="0" w:color="auto"/>
              <w:left w:val="nil"/>
              <w:bottom w:val="single" w:sz="4" w:space="0" w:color="auto"/>
              <w:right w:val="nil"/>
            </w:tcBorders>
            <w:shd w:val="clear" w:color="auto" w:fill="auto"/>
            <w:vAlign w:val="bottom"/>
            <w:hideMark/>
          </w:tcPr>
          <w:p w14:paraId="2C61E91B" w14:textId="77777777" w:rsidR="00D60F03" w:rsidRPr="00D60F03" w:rsidRDefault="00D60F03" w:rsidP="001550B3">
            <w:pPr>
              <w:rPr>
                <w:sz w:val="16"/>
                <w:szCs w:val="16"/>
              </w:rPr>
            </w:pPr>
            <w:r w:rsidRPr="00D60F03">
              <w:rPr>
                <w:sz w:val="16"/>
                <w:szCs w:val="16"/>
              </w:rPr>
              <w:t>Range</w:t>
            </w:r>
          </w:p>
        </w:tc>
        <w:tc>
          <w:tcPr>
            <w:tcW w:w="1920" w:type="dxa"/>
            <w:tcBorders>
              <w:top w:val="single" w:sz="4" w:space="0" w:color="auto"/>
              <w:left w:val="nil"/>
              <w:bottom w:val="single" w:sz="4" w:space="0" w:color="auto"/>
              <w:right w:val="nil"/>
            </w:tcBorders>
            <w:shd w:val="clear" w:color="auto" w:fill="auto"/>
            <w:vAlign w:val="bottom"/>
            <w:hideMark/>
          </w:tcPr>
          <w:p w14:paraId="43388999" w14:textId="77777777" w:rsidR="00D60F03" w:rsidRPr="00D60F03" w:rsidRDefault="00D60F03" w:rsidP="001550B3">
            <w:pPr>
              <w:rPr>
                <w:sz w:val="16"/>
                <w:szCs w:val="16"/>
              </w:rPr>
            </w:pPr>
            <w:r w:rsidRPr="00D60F03">
              <w:rPr>
                <w:sz w:val="16"/>
                <w:szCs w:val="16"/>
              </w:rPr>
              <w:t>Maximum / Minimum</w:t>
            </w:r>
          </w:p>
        </w:tc>
        <w:tc>
          <w:tcPr>
            <w:tcW w:w="850" w:type="dxa"/>
            <w:tcBorders>
              <w:top w:val="single" w:sz="4" w:space="0" w:color="auto"/>
              <w:left w:val="nil"/>
              <w:bottom w:val="single" w:sz="4" w:space="0" w:color="auto"/>
              <w:right w:val="nil"/>
            </w:tcBorders>
            <w:shd w:val="clear" w:color="auto" w:fill="auto"/>
            <w:vAlign w:val="bottom"/>
            <w:hideMark/>
          </w:tcPr>
          <w:p w14:paraId="6B0395C9" w14:textId="77777777" w:rsidR="00D60F03" w:rsidRPr="00D60F03" w:rsidRDefault="00D60F03" w:rsidP="001550B3">
            <w:pPr>
              <w:rPr>
                <w:sz w:val="16"/>
                <w:szCs w:val="16"/>
              </w:rPr>
            </w:pPr>
            <w:r w:rsidRPr="00D60F03">
              <w:rPr>
                <w:sz w:val="16"/>
                <w:szCs w:val="16"/>
              </w:rPr>
              <w:t>Variance</w:t>
            </w:r>
          </w:p>
        </w:tc>
        <w:tc>
          <w:tcPr>
            <w:tcW w:w="709" w:type="dxa"/>
            <w:tcBorders>
              <w:top w:val="single" w:sz="4" w:space="0" w:color="auto"/>
              <w:left w:val="nil"/>
              <w:bottom w:val="single" w:sz="4" w:space="0" w:color="auto"/>
              <w:right w:val="nil"/>
            </w:tcBorders>
            <w:shd w:val="clear" w:color="auto" w:fill="auto"/>
            <w:vAlign w:val="bottom"/>
            <w:hideMark/>
          </w:tcPr>
          <w:p w14:paraId="03962CBF" w14:textId="77777777" w:rsidR="00D60F03" w:rsidRPr="00D60F03" w:rsidRDefault="00D60F03" w:rsidP="001550B3">
            <w:pPr>
              <w:rPr>
                <w:sz w:val="16"/>
                <w:szCs w:val="16"/>
              </w:rPr>
            </w:pPr>
            <w:r w:rsidRPr="00D60F03">
              <w:rPr>
                <w:sz w:val="16"/>
                <w:szCs w:val="16"/>
              </w:rPr>
              <w:t>N of Items</w:t>
            </w:r>
          </w:p>
        </w:tc>
      </w:tr>
      <w:tr w:rsidR="00D60F03" w:rsidRPr="00201FF8" w14:paraId="28C72419" w14:textId="77777777" w:rsidTr="004C531D">
        <w:trPr>
          <w:cantSplit/>
        </w:trPr>
        <w:tc>
          <w:tcPr>
            <w:tcW w:w="1980" w:type="dxa"/>
            <w:tcBorders>
              <w:top w:val="single" w:sz="4" w:space="0" w:color="auto"/>
              <w:left w:val="nil"/>
              <w:bottom w:val="nil"/>
              <w:right w:val="nil"/>
            </w:tcBorders>
            <w:shd w:val="clear" w:color="auto" w:fill="auto"/>
            <w:hideMark/>
          </w:tcPr>
          <w:p w14:paraId="1C3D62EE" w14:textId="77777777" w:rsidR="00D60F03" w:rsidRPr="00D60F03" w:rsidRDefault="00D60F03" w:rsidP="001550B3">
            <w:pPr>
              <w:rPr>
                <w:sz w:val="16"/>
                <w:szCs w:val="16"/>
              </w:rPr>
            </w:pPr>
            <w:r w:rsidRPr="00D60F03">
              <w:rPr>
                <w:sz w:val="16"/>
                <w:szCs w:val="16"/>
              </w:rPr>
              <w:t>Item Means</w:t>
            </w:r>
          </w:p>
        </w:tc>
        <w:tc>
          <w:tcPr>
            <w:tcW w:w="720" w:type="dxa"/>
            <w:tcBorders>
              <w:top w:val="single" w:sz="4" w:space="0" w:color="auto"/>
              <w:left w:val="nil"/>
              <w:bottom w:val="nil"/>
              <w:right w:val="nil"/>
            </w:tcBorders>
            <w:shd w:val="clear" w:color="auto" w:fill="auto"/>
            <w:hideMark/>
          </w:tcPr>
          <w:p w14:paraId="7A08F9E2" w14:textId="77777777" w:rsidR="00D60F03" w:rsidRPr="00D60F03" w:rsidRDefault="00D60F03" w:rsidP="001550B3">
            <w:pPr>
              <w:rPr>
                <w:sz w:val="16"/>
                <w:szCs w:val="16"/>
              </w:rPr>
            </w:pPr>
            <w:r w:rsidRPr="00D60F03">
              <w:rPr>
                <w:sz w:val="16"/>
                <w:szCs w:val="16"/>
              </w:rPr>
              <w:t>79.054</w:t>
            </w:r>
          </w:p>
        </w:tc>
        <w:tc>
          <w:tcPr>
            <w:tcW w:w="900" w:type="dxa"/>
            <w:tcBorders>
              <w:top w:val="single" w:sz="4" w:space="0" w:color="auto"/>
              <w:left w:val="nil"/>
              <w:bottom w:val="nil"/>
              <w:right w:val="nil"/>
            </w:tcBorders>
            <w:shd w:val="clear" w:color="auto" w:fill="auto"/>
            <w:hideMark/>
          </w:tcPr>
          <w:p w14:paraId="4567407F" w14:textId="77777777" w:rsidR="00D60F03" w:rsidRPr="00D60F03" w:rsidRDefault="00D60F03" w:rsidP="001550B3">
            <w:pPr>
              <w:rPr>
                <w:sz w:val="16"/>
                <w:szCs w:val="16"/>
              </w:rPr>
            </w:pPr>
            <w:r w:rsidRPr="00D60F03">
              <w:rPr>
                <w:sz w:val="16"/>
                <w:szCs w:val="16"/>
              </w:rPr>
              <w:t>70.432</w:t>
            </w:r>
          </w:p>
        </w:tc>
        <w:tc>
          <w:tcPr>
            <w:tcW w:w="990" w:type="dxa"/>
            <w:tcBorders>
              <w:top w:val="single" w:sz="4" w:space="0" w:color="auto"/>
              <w:left w:val="nil"/>
              <w:bottom w:val="nil"/>
              <w:right w:val="nil"/>
            </w:tcBorders>
            <w:shd w:val="clear" w:color="auto" w:fill="auto"/>
            <w:hideMark/>
          </w:tcPr>
          <w:p w14:paraId="25222978" w14:textId="77777777" w:rsidR="00D60F03" w:rsidRPr="00D60F03" w:rsidRDefault="00D60F03" w:rsidP="001550B3">
            <w:pPr>
              <w:rPr>
                <w:sz w:val="16"/>
                <w:szCs w:val="16"/>
              </w:rPr>
            </w:pPr>
            <w:r w:rsidRPr="00D60F03">
              <w:rPr>
                <w:sz w:val="16"/>
                <w:szCs w:val="16"/>
              </w:rPr>
              <w:t>87.676</w:t>
            </w:r>
          </w:p>
        </w:tc>
        <w:tc>
          <w:tcPr>
            <w:tcW w:w="720" w:type="dxa"/>
            <w:tcBorders>
              <w:top w:val="single" w:sz="4" w:space="0" w:color="auto"/>
              <w:left w:val="nil"/>
              <w:bottom w:val="nil"/>
              <w:right w:val="nil"/>
            </w:tcBorders>
            <w:shd w:val="clear" w:color="auto" w:fill="auto"/>
            <w:hideMark/>
          </w:tcPr>
          <w:p w14:paraId="2A9DB890" w14:textId="77777777" w:rsidR="00D60F03" w:rsidRPr="00D60F03" w:rsidRDefault="00D60F03" w:rsidP="001550B3">
            <w:pPr>
              <w:rPr>
                <w:sz w:val="16"/>
                <w:szCs w:val="16"/>
              </w:rPr>
            </w:pPr>
            <w:r w:rsidRPr="00D60F03">
              <w:rPr>
                <w:sz w:val="16"/>
                <w:szCs w:val="16"/>
              </w:rPr>
              <w:t>17.243</w:t>
            </w:r>
          </w:p>
        </w:tc>
        <w:tc>
          <w:tcPr>
            <w:tcW w:w="1920" w:type="dxa"/>
            <w:tcBorders>
              <w:top w:val="single" w:sz="4" w:space="0" w:color="auto"/>
              <w:left w:val="nil"/>
              <w:bottom w:val="nil"/>
              <w:right w:val="nil"/>
            </w:tcBorders>
            <w:shd w:val="clear" w:color="auto" w:fill="auto"/>
            <w:hideMark/>
          </w:tcPr>
          <w:p w14:paraId="7FBE293A" w14:textId="77777777" w:rsidR="00D60F03" w:rsidRPr="00D60F03" w:rsidRDefault="00D60F03" w:rsidP="001550B3">
            <w:pPr>
              <w:rPr>
                <w:sz w:val="16"/>
                <w:szCs w:val="16"/>
              </w:rPr>
            </w:pPr>
            <w:r w:rsidRPr="00D60F03">
              <w:rPr>
                <w:sz w:val="16"/>
                <w:szCs w:val="16"/>
              </w:rPr>
              <w:t>1.245</w:t>
            </w:r>
          </w:p>
        </w:tc>
        <w:tc>
          <w:tcPr>
            <w:tcW w:w="850" w:type="dxa"/>
            <w:tcBorders>
              <w:top w:val="single" w:sz="4" w:space="0" w:color="auto"/>
              <w:left w:val="nil"/>
              <w:bottom w:val="nil"/>
              <w:right w:val="nil"/>
            </w:tcBorders>
            <w:shd w:val="clear" w:color="auto" w:fill="auto"/>
            <w:hideMark/>
          </w:tcPr>
          <w:p w14:paraId="3D4089C3" w14:textId="77777777" w:rsidR="00D60F03" w:rsidRPr="00D60F03" w:rsidRDefault="00D60F03" w:rsidP="001550B3">
            <w:pPr>
              <w:rPr>
                <w:sz w:val="16"/>
                <w:szCs w:val="16"/>
              </w:rPr>
            </w:pPr>
            <w:r w:rsidRPr="00D60F03">
              <w:rPr>
                <w:sz w:val="16"/>
                <w:szCs w:val="16"/>
              </w:rPr>
              <w:t>148.665</w:t>
            </w:r>
          </w:p>
        </w:tc>
        <w:tc>
          <w:tcPr>
            <w:tcW w:w="709" w:type="dxa"/>
            <w:tcBorders>
              <w:top w:val="single" w:sz="4" w:space="0" w:color="auto"/>
              <w:left w:val="nil"/>
              <w:bottom w:val="nil"/>
              <w:right w:val="nil"/>
            </w:tcBorders>
            <w:shd w:val="clear" w:color="auto" w:fill="auto"/>
            <w:hideMark/>
          </w:tcPr>
          <w:p w14:paraId="6FF1C2B2" w14:textId="77777777" w:rsidR="00D60F03" w:rsidRPr="00D60F03" w:rsidRDefault="00D60F03" w:rsidP="001550B3">
            <w:pPr>
              <w:rPr>
                <w:sz w:val="16"/>
                <w:szCs w:val="16"/>
              </w:rPr>
            </w:pPr>
            <w:r w:rsidRPr="00D60F03">
              <w:rPr>
                <w:sz w:val="16"/>
                <w:szCs w:val="16"/>
              </w:rPr>
              <w:t>2</w:t>
            </w:r>
          </w:p>
        </w:tc>
      </w:tr>
      <w:tr w:rsidR="00D60F03" w:rsidRPr="00201FF8" w14:paraId="67B5917B" w14:textId="77777777" w:rsidTr="004C531D">
        <w:trPr>
          <w:cantSplit/>
        </w:trPr>
        <w:tc>
          <w:tcPr>
            <w:tcW w:w="1980" w:type="dxa"/>
            <w:tcBorders>
              <w:top w:val="nil"/>
              <w:left w:val="nil"/>
              <w:bottom w:val="nil"/>
              <w:right w:val="nil"/>
            </w:tcBorders>
            <w:shd w:val="clear" w:color="auto" w:fill="auto"/>
            <w:hideMark/>
          </w:tcPr>
          <w:p w14:paraId="7AC0891A" w14:textId="77777777" w:rsidR="00D60F03" w:rsidRPr="00D60F03" w:rsidRDefault="00D60F03" w:rsidP="001550B3">
            <w:pPr>
              <w:rPr>
                <w:sz w:val="16"/>
                <w:szCs w:val="16"/>
              </w:rPr>
            </w:pPr>
            <w:r w:rsidRPr="00D60F03">
              <w:rPr>
                <w:sz w:val="16"/>
                <w:szCs w:val="16"/>
              </w:rPr>
              <w:t>Item Variances</w:t>
            </w:r>
          </w:p>
        </w:tc>
        <w:tc>
          <w:tcPr>
            <w:tcW w:w="720" w:type="dxa"/>
            <w:tcBorders>
              <w:top w:val="nil"/>
              <w:left w:val="nil"/>
              <w:bottom w:val="nil"/>
              <w:right w:val="nil"/>
            </w:tcBorders>
            <w:shd w:val="clear" w:color="auto" w:fill="auto"/>
            <w:hideMark/>
          </w:tcPr>
          <w:p w14:paraId="4758A939" w14:textId="77777777" w:rsidR="00D60F03" w:rsidRPr="00D60F03" w:rsidRDefault="00D60F03" w:rsidP="001550B3">
            <w:pPr>
              <w:rPr>
                <w:sz w:val="16"/>
                <w:szCs w:val="16"/>
              </w:rPr>
            </w:pPr>
            <w:r w:rsidRPr="00D60F03">
              <w:rPr>
                <w:sz w:val="16"/>
                <w:szCs w:val="16"/>
              </w:rPr>
              <w:t>73.072</w:t>
            </w:r>
          </w:p>
        </w:tc>
        <w:tc>
          <w:tcPr>
            <w:tcW w:w="900" w:type="dxa"/>
            <w:tcBorders>
              <w:top w:val="nil"/>
              <w:left w:val="nil"/>
              <w:bottom w:val="nil"/>
              <w:right w:val="nil"/>
            </w:tcBorders>
            <w:shd w:val="clear" w:color="auto" w:fill="auto"/>
            <w:hideMark/>
          </w:tcPr>
          <w:p w14:paraId="2F60D66F" w14:textId="77777777" w:rsidR="00D60F03" w:rsidRPr="00D60F03" w:rsidRDefault="00D60F03" w:rsidP="001550B3">
            <w:pPr>
              <w:rPr>
                <w:sz w:val="16"/>
                <w:szCs w:val="16"/>
              </w:rPr>
            </w:pPr>
            <w:r w:rsidRPr="00D60F03">
              <w:rPr>
                <w:sz w:val="16"/>
                <w:szCs w:val="16"/>
              </w:rPr>
              <w:t>58.114</w:t>
            </w:r>
          </w:p>
        </w:tc>
        <w:tc>
          <w:tcPr>
            <w:tcW w:w="990" w:type="dxa"/>
            <w:tcBorders>
              <w:top w:val="nil"/>
              <w:left w:val="nil"/>
              <w:bottom w:val="nil"/>
              <w:right w:val="nil"/>
            </w:tcBorders>
            <w:shd w:val="clear" w:color="auto" w:fill="auto"/>
            <w:hideMark/>
          </w:tcPr>
          <w:p w14:paraId="310F3B4A" w14:textId="77777777" w:rsidR="00D60F03" w:rsidRPr="00D60F03" w:rsidRDefault="00D60F03" w:rsidP="001550B3">
            <w:pPr>
              <w:rPr>
                <w:sz w:val="16"/>
                <w:szCs w:val="16"/>
              </w:rPr>
            </w:pPr>
            <w:r w:rsidRPr="00D60F03">
              <w:rPr>
                <w:sz w:val="16"/>
                <w:szCs w:val="16"/>
              </w:rPr>
              <w:t>88.030</w:t>
            </w:r>
          </w:p>
        </w:tc>
        <w:tc>
          <w:tcPr>
            <w:tcW w:w="720" w:type="dxa"/>
            <w:tcBorders>
              <w:top w:val="nil"/>
              <w:left w:val="nil"/>
              <w:bottom w:val="nil"/>
              <w:right w:val="nil"/>
            </w:tcBorders>
            <w:shd w:val="clear" w:color="auto" w:fill="auto"/>
            <w:hideMark/>
          </w:tcPr>
          <w:p w14:paraId="30624CFE" w14:textId="77777777" w:rsidR="00D60F03" w:rsidRPr="00D60F03" w:rsidRDefault="00D60F03" w:rsidP="001550B3">
            <w:pPr>
              <w:rPr>
                <w:sz w:val="16"/>
                <w:szCs w:val="16"/>
              </w:rPr>
            </w:pPr>
            <w:r w:rsidRPr="00D60F03">
              <w:rPr>
                <w:sz w:val="16"/>
                <w:szCs w:val="16"/>
              </w:rPr>
              <w:t>29.916</w:t>
            </w:r>
          </w:p>
        </w:tc>
        <w:tc>
          <w:tcPr>
            <w:tcW w:w="1920" w:type="dxa"/>
            <w:tcBorders>
              <w:top w:val="nil"/>
              <w:left w:val="nil"/>
              <w:bottom w:val="nil"/>
              <w:right w:val="nil"/>
            </w:tcBorders>
            <w:shd w:val="clear" w:color="auto" w:fill="auto"/>
            <w:hideMark/>
          </w:tcPr>
          <w:p w14:paraId="46306E36" w14:textId="77777777" w:rsidR="00D60F03" w:rsidRPr="00D60F03" w:rsidRDefault="00D60F03" w:rsidP="001550B3">
            <w:pPr>
              <w:rPr>
                <w:sz w:val="16"/>
                <w:szCs w:val="16"/>
              </w:rPr>
            </w:pPr>
            <w:r w:rsidRPr="00D60F03">
              <w:rPr>
                <w:sz w:val="16"/>
                <w:szCs w:val="16"/>
              </w:rPr>
              <w:t>1.515</w:t>
            </w:r>
          </w:p>
        </w:tc>
        <w:tc>
          <w:tcPr>
            <w:tcW w:w="850" w:type="dxa"/>
            <w:tcBorders>
              <w:top w:val="nil"/>
              <w:left w:val="nil"/>
              <w:bottom w:val="nil"/>
              <w:right w:val="nil"/>
            </w:tcBorders>
            <w:shd w:val="clear" w:color="auto" w:fill="auto"/>
            <w:hideMark/>
          </w:tcPr>
          <w:p w14:paraId="4B00E176" w14:textId="77777777" w:rsidR="00D60F03" w:rsidRPr="00D60F03" w:rsidRDefault="00D60F03" w:rsidP="001550B3">
            <w:pPr>
              <w:rPr>
                <w:sz w:val="16"/>
                <w:szCs w:val="16"/>
              </w:rPr>
            </w:pPr>
            <w:r w:rsidRPr="00D60F03">
              <w:rPr>
                <w:sz w:val="16"/>
                <w:szCs w:val="16"/>
              </w:rPr>
              <w:t>447.481</w:t>
            </w:r>
          </w:p>
        </w:tc>
        <w:tc>
          <w:tcPr>
            <w:tcW w:w="709" w:type="dxa"/>
            <w:tcBorders>
              <w:top w:val="nil"/>
              <w:left w:val="nil"/>
              <w:bottom w:val="nil"/>
              <w:right w:val="nil"/>
            </w:tcBorders>
            <w:shd w:val="clear" w:color="auto" w:fill="auto"/>
            <w:hideMark/>
          </w:tcPr>
          <w:p w14:paraId="7BD64F85" w14:textId="77777777" w:rsidR="00D60F03" w:rsidRPr="00D60F03" w:rsidRDefault="00D60F03" w:rsidP="001550B3">
            <w:pPr>
              <w:rPr>
                <w:sz w:val="16"/>
                <w:szCs w:val="16"/>
              </w:rPr>
            </w:pPr>
            <w:r w:rsidRPr="00D60F03">
              <w:rPr>
                <w:sz w:val="16"/>
                <w:szCs w:val="16"/>
              </w:rPr>
              <w:t>2</w:t>
            </w:r>
          </w:p>
        </w:tc>
      </w:tr>
      <w:tr w:rsidR="00D60F03" w:rsidRPr="00201FF8" w14:paraId="79CC22AD" w14:textId="77777777" w:rsidTr="004C531D">
        <w:trPr>
          <w:cantSplit/>
        </w:trPr>
        <w:tc>
          <w:tcPr>
            <w:tcW w:w="1980" w:type="dxa"/>
            <w:tcBorders>
              <w:top w:val="nil"/>
              <w:left w:val="nil"/>
              <w:bottom w:val="nil"/>
              <w:right w:val="nil"/>
            </w:tcBorders>
            <w:shd w:val="clear" w:color="auto" w:fill="auto"/>
            <w:hideMark/>
          </w:tcPr>
          <w:p w14:paraId="3B9B18BD" w14:textId="77777777" w:rsidR="00D60F03" w:rsidRPr="00D60F03" w:rsidRDefault="00D60F03" w:rsidP="001550B3">
            <w:pPr>
              <w:rPr>
                <w:sz w:val="16"/>
                <w:szCs w:val="16"/>
              </w:rPr>
            </w:pPr>
            <w:r w:rsidRPr="00D60F03">
              <w:rPr>
                <w:sz w:val="16"/>
                <w:szCs w:val="16"/>
              </w:rPr>
              <w:t xml:space="preserve">Inter-Item </w:t>
            </w:r>
            <w:proofErr w:type="spellStart"/>
            <w:r w:rsidRPr="00D60F03">
              <w:rPr>
                <w:sz w:val="16"/>
                <w:szCs w:val="16"/>
              </w:rPr>
              <w:t>Covariances</w:t>
            </w:r>
            <w:proofErr w:type="spellEnd"/>
          </w:p>
        </w:tc>
        <w:tc>
          <w:tcPr>
            <w:tcW w:w="720" w:type="dxa"/>
            <w:tcBorders>
              <w:top w:val="nil"/>
              <w:left w:val="nil"/>
              <w:bottom w:val="nil"/>
              <w:right w:val="nil"/>
            </w:tcBorders>
            <w:shd w:val="clear" w:color="auto" w:fill="auto"/>
            <w:hideMark/>
          </w:tcPr>
          <w:p w14:paraId="4810EA91" w14:textId="77777777" w:rsidR="00D60F03" w:rsidRPr="00D60F03" w:rsidRDefault="00D60F03" w:rsidP="001550B3">
            <w:pPr>
              <w:rPr>
                <w:sz w:val="16"/>
                <w:szCs w:val="16"/>
              </w:rPr>
            </w:pPr>
            <w:r w:rsidRPr="00D60F03">
              <w:rPr>
                <w:sz w:val="16"/>
                <w:szCs w:val="16"/>
              </w:rPr>
              <w:t>45.144</w:t>
            </w:r>
          </w:p>
        </w:tc>
        <w:tc>
          <w:tcPr>
            <w:tcW w:w="900" w:type="dxa"/>
            <w:tcBorders>
              <w:top w:val="nil"/>
              <w:left w:val="nil"/>
              <w:bottom w:val="nil"/>
              <w:right w:val="nil"/>
            </w:tcBorders>
            <w:shd w:val="clear" w:color="auto" w:fill="auto"/>
            <w:hideMark/>
          </w:tcPr>
          <w:p w14:paraId="4C03A9B2" w14:textId="77777777" w:rsidR="00D60F03" w:rsidRPr="00D60F03" w:rsidRDefault="00D60F03" w:rsidP="001550B3">
            <w:pPr>
              <w:rPr>
                <w:sz w:val="16"/>
                <w:szCs w:val="16"/>
              </w:rPr>
            </w:pPr>
            <w:r w:rsidRPr="00D60F03">
              <w:rPr>
                <w:sz w:val="16"/>
                <w:szCs w:val="16"/>
              </w:rPr>
              <w:t>45.144</w:t>
            </w:r>
          </w:p>
        </w:tc>
        <w:tc>
          <w:tcPr>
            <w:tcW w:w="990" w:type="dxa"/>
            <w:tcBorders>
              <w:top w:val="nil"/>
              <w:left w:val="nil"/>
              <w:bottom w:val="nil"/>
              <w:right w:val="nil"/>
            </w:tcBorders>
            <w:shd w:val="clear" w:color="auto" w:fill="auto"/>
            <w:hideMark/>
          </w:tcPr>
          <w:p w14:paraId="4391F685" w14:textId="77777777" w:rsidR="00D60F03" w:rsidRPr="00D60F03" w:rsidRDefault="00D60F03" w:rsidP="001550B3">
            <w:pPr>
              <w:rPr>
                <w:sz w:val="16"/>
                <w:szCs w:val="16"/>
              </w:rPr>
            </w:pPr>
            <w:r w:rsidRPr="00D60F03">
              <w:rPr>
                <w:sz w:val="16"/>
                <w:szCs w:val="16"/>
              </w:rPr>
              <w:t>45.144</w:t>
            </w:r>
          </w:p>
        </w:tc>
        <w:tc>
          <w:tcPr>
            <w:tcW w:w="720" w:type="dxa"/>
            <w:tcBorders>
              <w:top w:val="nil"/>
              <w:left w:val="nil"/>
              <w:bottom w:val="nil"/>
              <w:right w:val="nil"/>
            </w:tcBorders>
            <w:shd w:val="clear" w:color="auto" w:fill="auto"/>
            <w:hideMark/>
          </w:tcPr>
          <w:p w14:paraId="51AB1286" w14:textId="77777777" w:rsidR="00D60F03" w:rsidRPr="00D60F03" w:rsidRDefault="00D60F03" w:rsidP="001550B3">
            <w:pPr>
              <w:rPr>
                <w:sz w:val="16"/>
                <w:szCs w:val="16"/>
              </w:rPr>
            </w:pPr>
            <w:r w:rsidRPr="00D60F03">
              <w:rPr>
                <w:sz w:val="16"/>
                <w:szCs w:val="16"/>
              </w:rPr>
              <w:t>.000</w:t>
            </w:r>
          </w:p>
        </w:tc>
        <w:tc>
          <w:tcPr>
            <w:tcW w:w="1920" w:type="dxa"/>
            <w:tcBorders>
              <w:top w:val="nil"/>
              <w:left w:val="nil"/>
              <w:bottom w:val="nil"/>
              <w:right w:val="nil"/>
            </w:tcBorders>
            <w:shd w:val="clear" w:color="auto" w:fill="auto"/>
            <w:hideMark/>
          </w:tcPr>
          <w:p w14:paraId="2AF28017" w14:textId="77777777" w:rsidR="00D60F03" w:rsidRPr="00D60F03" w:rsidRDefault="00D60F03" w:rsidP="001550B3">
            <w:pPr>
              <w:rPr>
                <w:sz w:val="16"/>
                <w:szCs w:val="16"/>
              </w:rPr>
            </w:pPr>
            <w:r w:rsidRPr="00D60F03">
              <w:rPr>
                <w:sz w:val="16"/>
                <w:szCs w:val="16"/>
              </w:rPr>
              <w:t>1.000</w:t>
            </w:r>
          </w:p>
        </w:tc>
        <w:tc>
          <w:tcPr>
            <w:tcW w:w="850" w:type="dxa"/>
            <w:tcBorders>
              <w:top w:val="nil"/>
              <w:left w:val="nil"/>
              <w:bottom w:val="nil"/>
              <w:right w:val="nil"/>
            </w:tcBorders>
            <w:shd w:val="clear" w:color="auto" w:fill="auto"/>
            <w:hideMark/>
          </w:tcPr>
          <w:p w14:paraId="3428AAED" w14:textId="77777777" w:rsidR="00D60F03" w:rsidRPr="00D60F03" w:rsidRDefault="00D60F03" w:rsidP="001550B3">
            <w:pPr>
              <w:rPr>
                <w:sz w:val="16"/>
                <w:szCs w:val="16"/>
              </w:rPr>
            </w:pPr>
            <w:r w:rsidRPr="00D60F03">
              <w:rPr>
                <w:sz w:val="16"/>
                <w:szCs w:val="16"/>
              </w:rPr>
              <w:t>.000</w:t>
            </w:r>
          </w:p>
        </w:tc>
        <w:tc>
          <w:tcPr>
            <w:tcW w:w="709" w:type="dxa"/>
            <w:tcBorders>
              <w:top w:val="nil"/>
              <w:left w:val="nil"/>
              <w:bottom w:val="nil"/>
              <w:right w:val="nil"/>
            </w:tcBorders>
            <w:shd w:val="clear" w:color="auto" w:fill="auto"/>
            <w:hideMark/>
          </w:tcPr>
          <w:p w14:paraId="17322542" w14:textId="77777777" w:rsidR="00D60F03" w:rsidRPr="00D60F03" w:rsidRDefault="00D60F03" w:rsidP="001550B3">
            <w:pPr>
              <w:rPr>
                <w:sz w:val="16"/>
                <w:szCs w:val="16"/>
              </w:rPr>
            </w:pPr>
            <w:r w:rsidRPr="00D60F03">
              <w:rPr>
                <w:sz w:val="16"/>
                <w:szCs w:val="16"/>
              </w:rPr>
              <w:t>2</w:t>
            </w:r>
          </w:p>
        </w:tc>
      </w:tr>
      <w:tr w:rsidR="00D60F03" w:rsidRPr="00201FF8" w14:paraId="5A40E3B5" w14:textId="77777777" w:rsidTr="004C531D">
        <w:trPr>
          <w:cantSplit/>
        </w:trPr>
        <w:tc>
          <w:tcPr>
            <w:tcW w:w="1980" w:type="dxa"/>
            <w:tcBorders>
              <w:top w:val="nil"/>
              <w:left w:val="nil"/>
              <w:bottom w:val="single" w:sz="4" w:space="0" w:color="auto"/>
              <w:right w:val="nil"/>
            </w:tcBorders>
            <w:shd w:val="clear" w:color="auto" w:fill="auto"/>
            <w:hideMark/>
          </w:tcPr>
          <w:p w14:paraId="275B2E8D" w14:textId="77777777" w:rsidR="00D60F03" w:rsidRPr="00D60F03" w:rsidRDefault="00D60F03" w:rsidP="001550B3">
            <w:pPr>
              <w:rPr>
                <w:sz w:val="16"/>
                <w:szCs w:val="16"/>
              </w:rPr>
            </w:pPr>
            <w:r w:rsidRPr="00D60F03">
              <w:rPr>
                <w:sz w:val="16"/>
                <w:szCs w:val="16"/>
              </w:rPr>
              <w:t>Inter-Item Correlations</w:t>
            </w:r>
          </w:p>
        </w:tc>
        <w:tc>
          <w:tcPr>
            <w:tcW w:w="720" w:type="dxa"/>
            <w:tcBorders>
              <w:top w:val="nil"/>
              <w:left w:val="nil"/>
              <w:bottom w:val="single" w:sz="4" w:space="0" w:color="auto"/>
              <w:right w:val="nil"/>
            </w:tcBorders>
            <w:shd w:val="clear" w:color="auto" w:fill="auto"/>
            <w:hideMark/>
          </w:tcPr>
          <w:p w14:paraId="701599AE" w14:textId="77777777" w:rsidR="00D60F03" w:rsidRPr="00D60F03" w:rsidRDefault="00D60F03" w:rsidP="001550B3">
            <w:pPr>
              <w:rPr>
                <w:sz w:val="16"/>
                <w:szCs w:val="16"/>
              </w:rPr>
            </w:pPr>
            <w:r w:rsidRPr="00D60F03">
              <w:rPr>
                <w:sz w:val="16"/>
                <w:szCs w:val="16"/>
              </w:rPr>
              <w:t>.631</w:t>
            </w:r>
          </w:p>
        </w:tc>
        <w:tc>
          <w:tcPr>
            <w:tcW w:w="900" w:type="dxa"/>
            <w:tcBorders>
              <w:top w:val="nil"/>
              <w:left w:val="nil"/>
              <w:bottom w:val="single" w:sz="4" w:space="0" w:color="auto"/>
              <w:right w:val="nil"/>
            </w:tcBorders>
            <w:shd w:val="clear" w:color="auto" w:fill="auto"/>
            <w:hideMark/>
          </w:tcPr>
          <w:p w14:paraId="07B5ACD6" w14:textId="77777777" w:rsidR="00D60F03" w:rsidRPr="00D60F03" w:rsidRDefault="00D60F03" w:rsidP="001550B3">
            <w:pPr>
              <w:rPr>
                <w:sz w:val="16"/>
                <w:szCs w:val="16"/>
              </w:rPr>
            </w:pPr>
            <w:r w:rsidRPr="00D60F03">
              <w:rPr>
                <w:sz w:val="16"/>
                <w:szCs w:val="16"/>
              </w:rPr>
              <w:t>.631</w:t>
            </w:r>
          </w:p>
        </w:tc>
        <w:tc>
          <w:tcPr>
            <w:tcW w:w="990" w:type="dxa"/>
            <w:tcBorders>
              <w:top w:val="nil"/>
              <w:left w:val="nil"/>
              <w:bottom w:val="single" w:sz="4" w:space="0" w:color="auto"/>
              <w:right w:val="nil"/>
            </w:tcBorders>
            <w:shd w:val="clear" w:color="auto" w:fill="auto"/>
            <w:hideMark/>
          </w:tcPr>
          <w:p w14:paraId="5FB4548C" w14:textId="77777777" w:rsidR="00D60F03" w:rsidRPr="00D60F03" w:rsidRDefault="00D60F03" w:rsidP="001550B3">
            <w:pPr>
              <w:rPr>
                <w:sz w:val="16"/>
                <w:szCs w:val="16"/>
              </w:rPr>
            </w:pPr>
            <w:r w:rsidRPr="00D60F03">
              <w:rPr>
                <w:sz w:val="16"/>
                <w:szCs w:val="16"/>
              </w:rPr>
              <w:t>.631</w:t>
            </w:r>
          </w:p>
        </w:tc>
        <w:tc>
          <w:tcPr>
            <w:tcW w:w="720" w:type="dxa"/>
            <w:tcBorders>
              <w:top w:val="nil"/>
              <w:left w:val="nil"/>
              <w:bottom w:val="single" w:sz="4" w:space="0" w:color="auto"/>
              <w:right w:val="nil"/>
            </w:tcBorders>
            <w:shd w:val="clear" w:color="auto" w:fill="auto"/>
            <w:hideMark/>
          </w:tcPr>
          <w:p w14:paraId="241C71A7" w14:textId="77777777" w:rsidR="00D60F03" w:rsidRPr="00D60F03" w:rsidRDefault="00D60F03" w:rsidP="001550B3">
            <w:pPr>
              <w:rPr>
                <w:sz w:val="16"/>
                <w:szCs w:val="16"/>
              </w:rPr>
            </w:pPr>
            <w:r w:rsidRPr="00D60F03">
              <w:rPr>
                <w:sz w:val="16"/>
                <w:szCs w:val="16"/>
              </w:rPr>
              <w:t>.000</w:t>
            </w:r>
          </w:p>
        </w:tc>
        <w:tc>
          <w:tcPr>
            <w:tcW w:w="1920" w:type="dxa"/>
            <w:tcBorders>
              <w:top w:val="nil"/>
              <w:left w:val="nil"/>
              <w:bottom w:val="single" w:sz="4" w:space="0" w:color="auto"/>
              <w:right w:val="nil"/>
            </w:tcBorders>
            <w:shd w:val="clear" w:color="auto" w:fill="auto"/>
            <w:hideMark/>
          </w:tcPr>
          <w:p w14:paraId="7240D1A2" w14:textId="77777777" w:rsidR="00D60F03" w:rsidRPr="00D60F03" w:rsidRDefault="00D60F03" w:rsidP="001550B3">
            <w:pPr>
              <w:rPr>
                <w:sz w:val="16"/>
                <w:szCs w:val="16"/>
              </w:rPr>
            </w:pPr>
            <w:r w:rsidRPr="00D60F03">
              <w:rPr>
                <w:sz w:val="16"/>
                <w:szCs w:val="16"/>
              </w:rPr>
              <w:t>1.000</w:t>
            </w:r>
          </w:p>
        </w:tc>
        <w:tc>
          <w:tcPr>
            <w:tcW w:w="850" w:type="dxa"/>
            <w:tcBorders>
              <w:top w:val="nil"/>
              <w:left w:val="nil"/>
              <w:bottom w:val="single" w:sz="4" w:space="0" w:color="auto"/>
              <w:right w:val="nil"/>
            </w:tcBorders>
            <w:shd w:val="clear" w:color="auto" w:fill="auto"/>
            <w:hideMark/>
          </w:tcPr>
          <w:p w14:paraId="3BB71602" w14:textId="77777777" w:rsidR="00D60F03" w:rsidRPr="00D60F03" w:rsidRDefault="00D60F03" w:rsidP="001550B3">
            <w:pPr>
              <w:rPr>
                <w:sz w:val="16"/>
                <w:szCs w:val="16"/>
              </w:rPr>
            </w:pPr>
            <w:r w:rsidRPr="00D60F03">
              <w:rPr>
                <w:sz w:val="16"/>
                <w:szCs w:val="16"/>
              </w:rPr>
              <w:t>.000</w:t>
            </w:r>
          </w:p>
        </w:tc>
        <w:tc>
          <w:tcPr>
            <w:tcW w:w="709" w:type="dxa"/>
            <w:tcBorders>
              <w:top w:val="nil"/>
              <w:left w:val="nil"/>
              <w:bottom w:val="single" w:sz="4" w:space="0" w:color="auto"/>
              <w:right w:val="nil"/>
            </w:tcBorders>
            <w:shd w:val="clear" w:color="auto" w:fill="auto"/>
            <w:hideMark/>
          </w:tcPr>
          <w:p w14:paraId="79D4229D" w14:textId="77777777" w:rsidR="00D60F03" w:rsidRPr="00D60F03" w:rsidRDefault="00D60F03" w:rsidP="001550B3">
            <w:pPr>
              <w:rPr>
                <w:sz w:val="16"/>
                <w:szCs w:val="16"/>
              </w:rPr>
            </w:pPr>
            <w:r w:rsidRPr="00D60F03">
              <w:rPr>
                <w:sz w:val="16"/>
                <w:szCs w:val="16"/>
              </w:rPr>
              <w:t>2</w:t>
            </w:r>
          </w:p>
        </w:tc>
      </w:tr>
    </w:tbl>
    <w:p w14:paraId="17C7C2B0" w14:textId="77777777" w:rsidR="00A1333F" w:rsidRDefault="00A1333F" w:rsidP="00A1333F">
      <w:pPr>
        <w:rPr>
          <w:rFonts w:asciiTheme="minorHAnsi" w:hAnsiTheme="minorHAnsi" w:cstheme="minorHAnsi"/>
          <w:b/>
        </w:rPr>
      </w:pPr>
    </w:p>
    <w:p w14:paraId="3786A07C" w14:textId="77777777" w:rsidR="00D60F03" w:rsidRPr="00A1333F" w:rsidRDefault="00D60F03" w:rsidP="00A1333F">
      <w:pPr>
        <w:jc w:val="center"/>
        <w:rPr>
          <w:color w:val="000000"/>
        </w:rPr>
      </w:pPr>
      <w:proofErr w:type="gramStart"/>
      <w:r w:rsidRPr="00A1333F">
        <w:t>Table 4.</w:t>
      </w:r>
      <w:proofErr w:type="gramEnd"/>
      <w:r w:rsidRPr="00A1333F">
        <w:t xml:space="preserve">  Comparative pre-</w:t>
      </w:r>
      <w:proofErr w:type="spellStart"/>
      <w:r w:rsidRPr="00A1333F">
        <w:t>post test</w:t>
      </w:r>
      <w:proofErr w:type="spellEnd"/>
      <w:r w:rsidRPr="00A1333F">
        <w:t xml:space="preserve"> paired sample t-test</w:t>
      </w:r>
    </w:p>
    <w:tbl>
      <w:tblPr>
        <w:tblW w:w="878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90"/>
        <w:gridCol w:w="1169"/>
        <w:gridCol w:w="1133"/>
        <w:gridCol w:w="993"/>
        <w:gridCol w:w="2378"/>
        <w:gridCol w:w="2126"/>
      </w:tblGrid>
      <w:tr w:rsidR="00D60F03" w:rsidRPr="00A1333F" w14:paraId="7A79E663" w14:textId="77777777" w:rsidTr="00A1333F">
        <w:tc>
          <w:tcPr>
            <w:tcW w:w="8789" w:type="dxa"/>
            <w:gridSpan w:val="6"/>
            <w:tcBorders>
              <w:top w:val="nil"/>
              <w:left w:val="nil"/>
              <w:bottom w:val="single" w:sz="4" w:space="0" w:color="auto"/>
              <w:right w:val="nil"/>
            </w:tcBorders>
            <w:shd w:val="clear" w:color="auto" w:fill="FFFFFF"/>
            <w:vAlign w:val="center"/>
            <w:hideMark/>
          </w:tcPr>
          <w:p w14:paraId="42C77FAD" w14:textId="77777777" w:rsidR="00D60F03" w:rsidRPr="00A1333F" w:rsidRDefault="00D60F03" w:rsidP="001550B3">
            <w:pPr>
              <w:ind w:left="60" w:right="60"/>
              <w:jc w:val="center"/>
              <w:rPr>
                <w:rFonts w:eastAsia="Arial"/>
                <w:sz w:val="16"/>
                <w:szCs w:val="16"/>
              </w:rPr>
            </w:pPr>
            <w:r w:rsidRPr="00A1333F">
              <w:rPr>
                <w:rFonts w:eastAsia="Arial"/>
                <w:sz w:val="16"/>
                <w:szCs w:val="16"/>
              </w:rPr>
              <w:t>Paired Samples Statistics</w:t>
            </w:r>
          </w:p>
        </w:tc>
      </w:tr>
      <w:tr w:rsidR="00D60F03" w:rsidRPr="00A1333F" w14:paraId="3078D3A3" w14:textId="77777777" w:rsidTr="00A1333F">
        <w:tc>
          <w:tcPr>
            <w:tcW w:w="2159" w:type="dxa"/>
            <w:gridSpan w:val="2"/>
            <w:tcBorders>
              <w:top w:val="single" w:sz="4" w:space="0" w:color="auto"/>
              <w:left w:val="nil"/>
              <w:bottom w:val="single" w:sz="4" w:space="0" w:color="auto"/>
              <w:right w:val="nil"/>
            </w:tcBorders>
            <w:shd w:val="clear" w:color="auto" w:fill="FFFFFF"/>
            <w:vAlign w:val="center"/>
          </w:tcPr>
          <w:p w14:paraId="31885C4D" w14:textId="77777777" w:rsidR="00D60F03" w:rsidRPr="00A1333F" w:rsidRDefault="00D60F03" w:rsidP="001550B3">
            <w:pPr>
              <w:jc w:val="center"/>
              <w:rPr>
                <w:sz w:val="16"/>
                <w:szCs w:val="16"/>
              </w:rPr>
            </w:pPr>
          </w:p>
        </w:tc>
        <w:tc>
          <w:tcPr>
            <w:tcW w:w="1133" w:type="dxa"/>
            <w:tcBorders>
              <w:top w:val="single" w:sz="4" w:space="0" w:color="auto"/>
              <w:left w:val="nil"/>
              <w:bottom w:val="single" w:sz="4" w:space="0" w:color="auto"/>
              <w:right w:val="nil"/>
            </w:tcBorders>
            <w:shd w:val="clear" w:color="auto" w:fill="FFFFFF"/>
            <w:vAlign w:val="bottom"/>
            <w:hideMark/>
          </w:tcPr>
          <w:p w14:paraId="5749C4DF" w14:textId="77777777" w:rsidR="00D60F03" w:rsidRPr="00A1333F" w:rsidRDefault="00D60F03" w:rsidP="001550B3">
            <w:pPr>
              <w:ind w:left="60" w:right="60"/>
              <w:jc w:val="center"/>
              <w:rPr>
                <w:rFonts w:eastAsia="Arial"/>
                <w:sz w:val="16"/>
                <w:szCs w:val="16"/>
              </w:rPr>
            </w:pPr>
            <w:r w:rsidRPr="00A1333F">
              <w:rPr>
                <w:rFonts w:eastAsia="Arial"/>
                <w:sz w:val="16"/>
                <w:szCs w:val="16"/>
              </w:rPr>
              <w:t>Mean</w:t>
            </w:r>
          </w:p>
        </w:tc>
        <w:tc>
          <w:tcPr>
            <w:tcW w:w="993" w:type="dxa"/>
            <w:tcBorders>
              <w:top w:val="single" w:sz="4" w:space="0" w:color="auto"/>
              <w:left w:val="nil"/>
              <w:bottom w:val="single" w:sz="4" w:space="0" w:color="auto"/>
              <w:right w:val="nil"/>
            </w:tcBorders>
            <w:shd w:val="clear" w:color="auto" w:fill="FFFFFF"/>
            <w:vAlign w:val="bottom"/>
            <w:hideMark/>
          </w:tcPr>
          <w:p w14:paraId="4412831E" w14:textId="77777777" w:rsidR="00D60F03" w:rsidRPr="00A1333F" w:rsidRDefault="00D60F03" w:rsidP="001550B3">
            <w:pPr>
              <w:ind w:left="60" w:right="60"/>
              <w:jc w:val="center"/>
              <w:rPr>
                <w:rFonts w:eastAsia="Arial"/>
                <w:sz w:val="16"/>
                <w:szCs w:val="16"/>
              </w:rPr>
            </w:pPr>
            <w:r w:rsidRPr="00A1333F">
              <w:rPr>
                <w:rFonts w:eastAsia="Arial"/>
                <w:sz w:val="16"/>
                <w:szCs w:val="16"/>
              </w:rPr>
              <w:t>N</w:t>
            </w:r>
          </w:p>
        </w:tc>
        <w:tc>
          <w:tcPr>
            <w:tcW w:w="2378" w:type="dxa"/>
            <w:tcBorders>
              <w:top w:val="single" w:sz="4" w:space="0" w:color="auto"/>
              <w:left w:val="nil"/>
              <w:bottom w:val="single" w:sz="4" w:space="0" w:color="auto"/>
              <w:right w:val="nil"/>
            </w:tcBorders>
            <w:shd w:val="clear" w:color="auto" w:fill="FFFFFF"/>
            <w:vAlign w:val="bottom"/>
            <w:hideMark/>
          </w:tcPr>
          <w:p w14:paraId="153CE327" w14:textId="77777777" w:rsidR="00D60F03" w:rsidRPr="00A1333F" w:rsidRDefault="00D60F03" w:rsidP="001550B3">
            <w:pPr>
              <w:ind w:left="60" w:right="60"/>
              <w:jc w:val="center"/>
              <w:rPr>
                <w:rFonts w:eastAsia="Arial"/>
                <w:sz w:val="16"/>
                <w:szCs w:val="16"/>
              </w:rPr>
            </w:pPr>
            <w:r w:rsidRPr="00A1333F">
              <w:rPr>
                <w:rFonts w:eastAsia="Arial"/>
                <w:sz w:val="16"/>
                <w:szCs w:val="16"/>
              </w:rPr>
              <w:t>Std. Deviation</w:t>
            </w:r>
          </w:p>
        </w:tc>
        <w:tc>
          <w:tcPr>
            <w:tcW w:w="2126" w:type="dxa"/>
            <w:tcBorders>
              <w:top w:val="single" w:sz="4" w:space="0" w:color="auto"/>
              <w:left w:val="nil"/>
              <w:bottom w:val="single" w:sz="4" w:space="0" w:color="auto"/>
              <w:right w:val="nil"/>
            </w:tcBorders>
            <w:shd w:val="clear" w:color="auto" w:fill="FFFFFF"/>
            <w:vAlign w:val="bottom"/>
            <w:hideMark/>
          </w:tcPr>
          <w:p w14:paraId="5BE30D0F" w14:textId="77777777" w:rsidR="00D60F03" w:rsidRPr="00A1333F" w:rsidRDefault="00D60F03" w:rsidP="001550B3">
            <w:pPr>
              <w:ind w:left="60" w:right="60"/>
              <w:jc w:val="center"/>
              <w:rPr>
                <w:rFonts w:eastAsia="Arial"/>
                <w:sz w:val="16"/>
                <w:szCs w:val="16"/>
              </w:rPr>
            </w:pPr>
            <w:r w:rsidRPr="00A1333F">
              <w:rPr>
                <w:rFonts w:eastAsia="Arial"/>
                <w:sz w:val="16"/>
                <w:szCs w:val="16"/>
              </w:rPr>
              <w:t>Std. Error Mean</w:t>
            </w:r>
          </w:p>
        </w:tc>
      </w:tr>
      <w:tr w:rsidR="00D60F03" w:rsidRPr="00A1333F" w14:paraId="62D86C17" w14:textId="77777777" w:rsidTr="004C531D">
        <w:tc>
          <w:tcPr>
            <w:tcW w:w="990" w:type="dxa"/>
            <w:vMerge w:val="restart"/>
            <w:tcBorders>
              <w:top w:val="single" w:sz="4" w:space="0" w:color="auto"/>
              <w:left w:val="nil"/>
              <w:bottom w:val="single" w:sz="4" w:space="0" w:color="auto"/>
              <w:right w:val="nil"/>
            </w:tcBorders>
            <w:shd w:val="clear" w:color="auto" w:fill="FFFFFF"/>
            <w:hideMark/>
          </w:tcPr>
          <w:p w14:paraId="265BF03B" w14:textId="77777777" w:rsidR="00D60F03" w:rsidRPr="00A1333F" w:rsidRDefault="00D60F03" w:rsidP="001550B3">
            <w:pPr>
              <w:ind w:left="60" w:right="60"/>
              <w:rPr>
                <w:rFonts w:eastAsia="Arial"/>
                <w:sz w:val="16"/>
                <w:szCs w:val="16"/>
              </w:rPr>
            </w:pPr>
            <w:r w:rsidRPr="00A1333F">
              <w:rPr>
                <w:rFonts w:eastAsia="Arial"/>
                <w:sz w:val="16"/>
                <w:szCs w:val="16"/>
              </w:rPr>
              <w:t>Pair 1</w:t>
            </w:r>
          </w:p>
        </w:tc>
        <w:tc>
          <w:tcPr>
            <w:tcW w:w="1169" w:type="dxa"/>
            <w:tcBorders>
              <w:top w:val="single" w:sz="4" w:space="0" w:color="auto"/>
              <w:left w:val="nil"/>
              <w:bottom w:val="nil"/>
              <w:right w:val="nil"/>
            </w:tcBorders>
            <w:shd w:val="clear" w:color="auto" w:fill="FFFFFF"/>
            <w:hideMark/>
          </w:tcPr>
          <w:p w14:paraId="301BBD02" w14:textId="77777777" w:rsidR="00D60F03" w:rsidRPr="00A1333F" w:rsidRDefault="00D60F03" w:rsidP="001550B3">
            <w:pPr>
              <w:ind w:left="60" w:right="60"/>
              <w:rPr>
                <w:rFonts w:eastAsia="Arial"/>
                <w:sz w:val="16"/>
                <w:szCs w:val="16"/>
              </w:rPr>
            </w:pPr>
            <w:r w:rsidRPr="00A1333F">
              <w:rPr>
                <w:rFonts w:eastAsia="Arial"/>
                <w:sz w:val="16"/>
                <w:szCs w:val="16"/>
              </w:rPr>
              <w:t>Pre-test</w:t>
            </w:r>
          </w:p>
        </w:tc>
        <w:tc>
          <w:tcPr>
            <w:tcW w:w="1133" w:type="dxa"/>
            <w:tcBorders>
              <w:top w:val="single" w:sz="4" w:space="0" w:color="auto"/>
              <w:left w:val="nil"/>
              <w:bottom w:val="nil"/>
              <w:right w:val="nil"/>
            </w:tcBorders>
            <w:shd w:val="clear" w:color="auto" w:fill="FFFFFF"/>
            <w:hideMark/>
          </w:tcPr>
          <w:p w14:paraId="332ECAB2" w14:textId="77777777" w:rsidR="00D60F03" w:rsidRPr="00A1333F" w:rsidRDefault="00D60F03" w:rsidP="001550B3">
            <w:pPr>
              <w:ind w:left="60" w:right="60"/>
              <w:jc w:val="center"/>
              <w:rPr>
                <w:rFonts w:eastAsia="Arial"/>
                <w:sz w:val="16"/>
                <w:szCs w:val="16"/>
              </w:rPr>
            </w:pPr>
            <w:r w:rsidRPr="00A1333F">
              <w:rPr>
                <w:rFonts w:eastAsia="Arial"/>
                <w:sz w:val="16"/>
                <w:szCs w:val="16"/>
              </w:rPr>
              <w:t>70.43</w:t>
            </w:r>
          </w:p>
        </w:tc>
        <w:tc>
          <w:tcPr>
            <w:tcW w:w="993" w:type="dxa"/>
            <w:tcBorders>
              <w:top w:val="single" w:sz="4" w:space="0" w:color="auto"/>
              <w:left w:val="nil"/>
              <w:bottom w:val="nil"/>
              <w:right w:val="nil"/>
            </w:tcBorders>
            <w:shd w:val="clear" w:color="auto" w:fill="FFFFFF"/>
            <w:hideMark/>
          </w:tcPr>
          <w:p w14:paraId="2522E7C1" w14:textId="77777777" w:rsidR="00D60F03" w:rsidRPr="00A1333F" w:rsidRDefault="00D60F03" w:rsidP="001550B3">
            <w:pPr>
              <w:ind w:left="60" w:right="60"/>
              <w:jc w:val="center"/>
              <w:rPr>
                <w:rFonts w:eastAsia="Arial"/>
                <w:sz w:val="16"/>
                <w:szCs w:val="16"/>
              </w:rPr>
            </w:pPr>
            <w:r w:rsidRPr="00A1333F">
              <w:rPr>
                <w:rFonts w:eastAsia="Arial"/>
                <w:sz w:val="16"/>
                <w:szCs w:val="16"/>
              </w:rPr>
              <w:t>37</w:t>
            </w:r>
          </w:p>
        </w:tc>
        <w:tc>
          <w:tcPr>
            <w:tcW w:w="2378" w:type="dxa"/>
            <w:tcBorders>
              <w:top w:val="single" w:sz="4" w:space="0" w:color="auto"/>
              <w:left w:val="nil"/>
              <w:bottom w:val="nil"/>
              <w:right w:val="nil"/>
            </w:tcBorders>
            <w:shd w:val="clear" w:color="auto" w:fill="FFFFFF"/>
            <w:hideMark/>
          </w:tcPr>
          <w:p w14:paraId="4721AFD4" w14:textId="77777777" w:rsidR="00D60F03" w:rsidRPr="00A1333F" w:rsidRDefault="00D60F03" w:rsidP="001550B3">
            <w:pPr>
              <w:ind w:left="60" w:right="60"/>
              <w:jc w:val="right"/>
              <w:rPr>
                <w:rFonts w:eastAsia="Arial"/>
                <w:sz w:val="16"/>
                <w:szCs w:val="16"/>
              </w:rPr>
            </w:pPr>
            <w:r w:rsidRPr="00A1333F">
              <w:rPr>
                <w:rFonts w:eastAsia="Arial"/>
                <w:sz w:val="16"/>
                <w:szCs w:val="16"/>
              </w:rPr>
              <w:t>9.382</w:t>
            </w:r>
          </w:p>
        </w:tc>
        <w:tc>
          <w:tcPr>
            <w:tcW w:w="2126" w:type="dxa"/>
            <w:tcBorders>
              <w:top w:val="single" w:sz="4" w:space="0" w:color="auto"/>
              <w:left w:val="nil"/>
              <w:bottom w:val="nil"/>
              <w:right w:val="nil"/>
            </w:tcBorders>
            <w:shd w:val="clear" w:color="auto" w:fill="FFFFFF"/>
            <w:hideMark/>
          </w:tcPr>
          <w:p w14:paraId="72633440" w14:textId="77777777" w:rsidR="00D60F03" w:rsidRPr="00A1333F" w:rsidRDefault="00D60F03" w:rsidP="001550B3">
            <w:pPr>
              <w:ind w:left="60" w:right="60"/>
              <w:jc w:val="right"/>
              <w:rPr>
                <w:rFonts w:eastAsia="Arial"/>
                <w:sz w:val="16"/>
                <w:szCs w:val="16"/>
              </w:rPr>
            </w:pPr>
            <w:r w:rsidRPr="00A1333F">
              <w:rPr>
                <w:rFonts w:eastAsia="Arial"/>
                <w:sz w:val="16"/>
                <w:szCs w:val="16"/>
              </w:rPr>
              <w:t>1.542</w:t>
            </w:r>
          </w:p>
        </w:tc>
      </w:tr>
      <w:tr w:rsidR="00D60F03" w:rsidRPr="00A1333F" w14:paraId="763DA0AF" w14:textId="77777777" w:rsidTr="004C531D">
        <w:tc>
          <w:tcPr>
            <w:tcW w:w="990" w:type="dxa"/>
            <w:vMerge/>
            <w:tcBorders>
              <w:top w:val="single" w:sz="4" w:space="0" w:color="auto"/>
              <w:left w:val="nil"/>
              <w:bottom w:val="single" w:sz="4" w:space="0" w:color="auto"/>
              <w:right w:val="nil"/>
            </w:tcBorders>
            <w:vAlign w:val="center"/>
            <w:hideMark/>
          </w:tcPr>
          <w:p w14:paraId="23B79D54" w14:textId="77777777" w:rsidR="00D60F03" w:rsidRPr="00A1333F" w:rsidRDefault="00D60F03" w:rsidP="001550B3">
            <w:pPr>
              <w:rPr>
                <w:rFonts w:eastAsia="Arial"/>
                <w:sz w:val="16"/>
                <w:szCs w:val="16"/>
              </w:rPr>
            </w:pPr>
          </w:p>
        </w:tc>
        <w:tc>
          <w:tcPr>
            <w:tcW w:w="1169" w:type="dxa"/>
            <w:tcBorders>
              <w:top w:val="nil"/>
              <w:left w:val="nil"/>
              <w:bottom w:val="single" w:sz="4" w:space="0" w:color="auto"/>
              <w:right w:val="nil"/>
            </w:tcBorders>
            <w:shd w:val="clear" w:color="auto" w:fill="FFFFFF"/>
            <w:hideMark/>
          </w:tcPr>
          <w:p w14:paraId="561B535D" w14:textId="77777777" w:rsidR="00D60F03" w:rsidRPr="00A1333F" w:rsidRDefault="00D60F03" w:rsidP="001550B3">
            <w:pPr>
              <w:ind w:left="60" w:right="60"/>
              <w:rPr>
                <w:rFonts w:eastAsia="Arial"/>
                <w:sz w:val="16"/>
                <w:szCs w:val="16"/>
              </w:rPr>
            </w:pPr>
            <w:r w:rsidRPr="00A1333F">
              <w:rPr>
                <w:rFonts w:eastAsia="Arial"/>
                <w:sz w:val="16"/>
                <w:szCs w:val="16"/>
              </w:rPr>
              <w:t>Post-test</w:t>
            </w:r>
          </w:p>
        </w:tc>
        <w:tc>
          <w:tcPr>
            <w:tcW w:w="1133" w:type="dxa"/>
            <w:tcBorders>
              <w:top w:val="nil"/>
              <w:left w:val="nil"/>
              <w:bottom w:val="single" w:sz="4" w:space="0" w:color="auto"/>
              <w:right w:val="nil"/>
            </w:tcBorders>
            <w:shd w:val="clear" w:color="auto" w:fill="FFFFFF"/>
            <w:hideMark/>
          </w:tcPr>
          <w:p w14:paraId="715A0B4C" w14:textId="77777777" w:rsidR="00D60F03" w:rsidRPr="00A1333F" w:rsidRDefault="00D60F03" w:rsidP="001550B3">
            <w:pPr>
              <w:ind w:left="60" w:right="60"/>
              <w:jc w:val="center"/>
              <w:rPr>
                <w:rFonts w:eastAsia="Arial"/>
                <w:sz w:val="16"/>
                <w:szCs w:val="16"/>
              </w:rPr>
            </w:pPr>
            <w:r w:rsidRPr="00A1333F">
              <w:rPr>
                <w:rFonts w:eastAsia="Arial"/>
                <w:sz w:val="16"/>
                <w:szCs w:val="16"/>
              </w:rPr>
              <w:t>87.68</w:t>
            </w:r>
          </w:p>
        </w:tc>
        <w:tc>
          <w:tcPr>
            <w:tcW w:w="993" w:type="dxa"/>
            <w:tcBorders>
              <w:top w:val="nil"/>
              <w:left w:val="nil"/>
              <w:bottom w:val="single" w:sz="4" w:space="0" w:color="auto"/>
              <w:right w:val="nil"/>
            </w:tcBorders>
            <w:shd w:val="clear" w:color="auto" w:fill="FFFFFF"/>
            <w:hideMark/>
          </w:tcPr>
          <w:p w14:paraId="26704DC2" w14:textId="77777777" w:rsidR="00D60F03" w:rsidRPr="00A1333F" w:rsidRDefault="00D60F03" w:rsidP="001550B3">
            <w:pPr>
              <w:ind w:left="60" w:right="60"/>
              <w:jc w:val="center"/>
              <w:rPr>
                <w:rFonts w:eastAsia="Arial"/>
                <w:sz w:val="16"/>
                <w:szCs w:val="16"/>
              </w:rPr>
            </w:pPr>
            <w:r w:rsidRPr="00A1333F">
              <w:rPr>
                <w:rFonts w:eastAsia="Arial"/>
                <w:sz w:val="16"/>
                <w:szCs w:val="16"/>
              </w:rPr>
              <w:t>37</w:t>
            </w:r>
          </w:p>
        </w:tc>
        <w:tc>
          <w:tcPr>
            <w:tcW w:w="2378" w:type="dxa"/>
            <w:tcBorders>
              <w:top w:val="nil"/>
              <w:left w:val="nil"/>
              <w:bottom w:val="single" w:sz="4" w:space="0" w:color="auto"/>
              <w:right w:val="nil"/>
            </w:tcBorders>
            <w:shd w:val="clear" w:color="auto" w:fill="FFFFFF"/>
            <w:hideMark/>
          </w:tcPr>
          <w:p w14:paraId="3D63DB93" w14:textId="77777777" w:rsidR="00D60F03" w:rsidRPr="00A1333F" w:rsidRDefault="00D60F03" w:rsidP="001550B3">
            <w:pPr>
              <w:ind w:left="60" w:right="60"/>
              <w:jc w:val="right"/>
              <w:rPr>
                <w:rFonts w:eastAsia="Arial"/>
                <w:sz w:val="16"/>
                <w:szCs w:val="16"/>
              </w:rPr>
            </w:pPr>
            <w:r w:rsidRPr="00A1333F">
              <w:rPr>
                <w:rFonts w:eastAsia="Arial"/>
                <w:sz w:val="16"/>
                <w:szCs w:val="16"/>
              </w:rPr>
              <w:t>7.623</w:t>
            </w:r>
          </w:p>
        </w:tc>
        <w:tc>
          <w:tcPr>
            <w:tcW w:w="2126" w:type="dxa"/>
            <w:tcBorders>
              <w:top w:val="nil"/>
              <w:left w:val="nil"/>
              <w:bottom w:val="single" w:sz="4" w:space="0" w:color="auto"/>
              <w:right w:val="nil"/>
            </w:tcBorders>
            <w:shd w:val="clear" w:color="auto" w:fill="FFFFFF"/>
            <w:hideMark/>
          </w:tcPr>
          <w:p w14:paraId="3AEB76E9" w14:textId="77777777" w:rsidR="00D60F03" w:rsidRPr="00A1333F" w:rsidRDefault="00D60F03" w:rsidP="001550B3">
            <w:pPr>
              <w:ind w:left="60" w:right="60"/>
              <w:jc w:val="right"/>
              <w:rPr>
                <w:rFonts w:eastAsia="Arial"/>
                <w:sz w:val="16"/>
                <w:szCs w:val="16"/>
              </w:rPr>
            </w:pPr>
            <w:r w:rsidRPr="00A1333F">
              <w:rPr>
                <w:rFonts w:eastAsia="Arial"/>
                <w:sz w:val="16"/>
                <w:szCs w:val="16"/>
              </w:rPr>
              <w:t>1.253</w:t>
            </w:r>
          </w:p>
        </w:tc>
      </w:tr>
    </w:tbl>
    <w:p w14:paraId="7F23B445" w14:textId="77777777" w:rsidR="00A1333F" w:rsidRPr="00AC7D98" w:rsidRDefault="00A1333F" w:rsidP="00AC7D98">
      <w:pPr>
        <w:rPr>
          <w:rFonts w:asciiTheme="minorHAnsi" w:hAnsiTheme="minorHAnsi" w:cstheme="minorHAnsi"/>
          <w:b/>
          <w:bCs/>
          <w:color w:val="010205"/>
        </w:rPr>
      </w:pPr>
    </w:p>
    <w:p w14:paraId="7D18BEDB" w14:textId="77777777" w:rsidR="00D60F03" w:rsidRPr="00A1333F" w:rsidRDefault="00D60F03" w:rsidP="00A1333F">
      <w:pPr>
        <w:pStyle w:val="ListParagraph"/>
        <w:spacing w:after="0"/>
        <w:jc w:val="center"/>
        <w:rPr>
          <w:rFonts w:ascii="Times New Roman" w:hAnsi="Times New Roman"/>
          <w:sz w:val="20"/>
          <w:szCs w:val="20"/>
        </w:rPr>
      </w:pPr>
      <w:proofErr w:type="gramStart"/>
      <w:r w:rsidRPr="00A1333F">
        <w:rPr>
          <w:rFonts w:ascii="Times New Roman" w:hAnsi="Times New Roman"/>
          <w:bCs/>
          <w:color w:val="010205"/>
          <w:sz w:val="20"/>
          <w:szCs w:val="20"/>
        </w:rPr>
        <w:t>Table 5.</w:t>
      </w:r>
      <w:proofErr w:type="gramEnd"/>
      <w:r w:rsidRPr="00A1333F">
        <w:rPr>
          <w:rFonts w:ascii="Times New Roman" w:hAnsi="Times New Roman"/>
          <w:bCs/>
          <w:color w:val="010205"/>
          <w:sz w:val="20"/>
          <w:szCs w:val="20"/>
        </w:rPr>
        <w:t xml:space="preserve"> Paired Samples Correlations</w:t>
      </w:r>
    </w:p>
    <w:tbl>
      <w:tblPr>
        <w:tblW w:w="878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779"/>
        <w:gridCol w:w="3451"/>
        <w:gridCol w:w="810"/>
        <w:gridCol w:w="2190"/>
        <w:gridCol w:w="1558"/>
      </w:tblGrid>
      <w:tr w:rsidR="00D60F03" w:rsidRPr="00A1333F" w14:paraId="22AA8F6D" w14:textId="77777777" w:rsidTr="00740188">
        <w:trPr>
          <w:cantSplit/>
        </w:trPr>
        <w:tc>
          <w:tcPr>
            <w:tcW w:w="4230" w:type="dxa"/>
            <w:gridSpan w:val="2"/>
            <w:shd w:val="clear" w:color="auto" w:fill="auto"/>
            <w:vAlign w:val="bottom"/>
          </w:tcPr>
          <w:p w14:paraId="395EC328" w14:textId="77777777" w:rsidR="00D60F03" w:rsidRPr="00A1333F" w:rsidRDefault="00D60F03" w:rsidP="00A1333F">
            <w:pPr>
              <w:adjustRightInd w:val="0"/>
              <w:rPr>
                <w:color w:val="000000" w:themeColor="text1"/>
                <w:sz w:val="16"/>
                <w:szCs w:val="16"/>
              </w:rPr>
            </w:pPr>
          </w:p>
        </w:tc>
        <w:tc>
          <w:tcPr>
            <w:tcW w:w="810" w:type="dxa"/>
            <w:shd w:val="clear" w:color="auto" w:fill="auto"/>
            <w:vAlign w:val="bottom"/>
            <w:hideMark/>
          </w:tcPr>
          <w:p w14:paraId="0371A915" w14:textId="77777777" w:rsidR="00D60F03" w:rsidRPr="00A1333F" w:rsidRDefault="00D60F03" w:rsidP="00A1333F">
            <w:pPr>
              <w:adjustRightInd w:val="0"/>
              <w:ind w:left="60" w:right="60"/>
              <w:jc w:val="center"/>
              <w:rPr>
                <w:color w:val="000000" w:themeColor="text1"/>
                <w:sz w:val="16"/>
                <w:szCs w:val="16"/>
              </w:rPr>
            </w:pPr>
            <w:r w:rsidRPr="00A1333F">
              <w:rPr>
                <w:color w:val="000000" w:themeColor="text1"/>
                <w:sz w:val="16"/>
                <w:szCs w:val="16"/>
              </w:rPr>
              <w:t>N</w:t>
            </w:r>
          </w:p>
        </w:tc>
        <w:tc>
          <w:tcPr>
            <w:tcW w:w="2190" w:type="dxa"/>
            <w:shd w:val="clear" w:color="auto" w:fill="auto"/>
            <w:vAlign w:val="bottom"/>
            <w:hideMark/>
          </w:tcPr>
          <w:p w14:paraId="3A702C0C" w14:textId="77777777" w:rsidR="00D60F03" w:rsidRPr="00A1333F" w:rsidRDefault="00D60F03" w:rsidP="00A1333F">
            <w:pPr>
              <w:adjustRightInd w:val="0"/>
              <w:ind w:left="60" w:right="60"/>
              <w:jc w:val="center"/>
              <w:rPr>
                <w:color w:val="000000" w:themeColor="text1"/>
                <w:sz w:val="16"/>
                <w:szCs w:val="16"/>
              </w:rPr>
            </w:pPr>
            <w:r w:rsidRPr="00A1333F">
              <w:rPr>
                <w:color w:val="000000" w:themeColor="text1"/>
                <w:sz w:val="16"/>
                <w:szCs w:val="16"/>
              </w:rPr>
              <w:t>Correlation</w:t>
            </w:r>
          </w:p>
        </w:tc>
        <w:tc>
          <w:tcPr>
            <w:tcW w:w="1558" w:type="dxa"/>
            <w:shd w:val="clear" w:color="auto" w:fill="auto"/>
            <w:vAlign w:val="bottom"/>
            <w:hideMark/>
          </w:tcPr>
          <w:p w14:paraId="7C56A2A5" w14:textId="77777777" w:rsidR="00D60F03" w:rsidRPr="00A1333F" w:rsidRDefault="00D60F03" w:rsidP="00A1333F">
            <w:pPr>
              <w:adjustRightInd w:val="0"/>
              <w:ind w:left="60" w:right="60"/>
              <w:jc w:val="center"/>
              <w:rPr>
                <w:color w:val="000000" w:themeColor="text1"/>
                <w:sz w:val="16"/>
                <w:szCs w:val="16"/>
              </w:rPr>
            </w:pPr>
            <w:r w:rsidRPr="00A1333F">
              <w:rPr>
                <w:color w:val="000000" w:themeColor="text1"/>
                <w:sz w:val="16"/>
                <w:szCs w:val="16"/>
              </w:rPr>
              <w:t>Sig.</w:t>
            </w:r>
          </w:p>
        </w:tc>
      </w:tr>
      <w:tr w:rsidR="00D60F03" w:rsidRPr="00A1333F" w14:paraId="4FF74634" w14:textId="77777777" w:rsidTr="00740188">
        <w:trPr>
          <w:cantSplit/>
        </w:trPr>
        <w:tc>
          <w:tcPr>
            <w:tcW w:w="779" w:type="dxa"/>
            <w:shd w:val="clear" w:color="auto" w:fill="auto"/>
            <w:hideMark/>
          </w:tcPr>
          <w:p w14:paraId="044D0944" w14:textId="77777777" w:rsidR="00D60F03" w:rsidRPr="00A1333F" w:rsidRDefault="00D60F03" w:rsidP="00A1333F">
            <w:pPr>
              <w:adjustRightInd w:val="0"/>
              <w:ind w:left="60" w:right="60"/>
              <w:rPr>
                <w:color w:val="000000" w:themeColor="text1"/>
                <w:sz w:val="16"/>
                <w:szCs w:val="16"/>
              </w:rPr>
            </w:pPr>
            <w:r w:rsidRPr="00A1333F">
              <w:rPr>
                <w:color w:val="000000" w:themeColor="text1"/>
                <w:sz w:val="16"/>
                <w:szCs w:val="16"/>
              </w:rPr>
              <w:t>Pair 1</w:t>
            </w:r>
          </w:p>
        </w:tc>
        <w:tc>
          <w:tcPr>
            <w:tcW w:w="3451" w:type="dxa"/>
            <w:shd w:val="clear" w:color="auto" w:fill="auto"/>
            <w:hideMark/>
          </w:tcPr>
          <w:p w14:paraId="1A691FD1" w14:textId="77777777" w:rsidR="00D60F03" w:rsidRPr="00A1333F" w:rsidRDefault="00D60F03" w:rsidP="00A1333F">
            <w:pPr>
              <w:adjustRightInd w:val="0"/>
              <w:ind w:left="60" w:right="60"/>
              <w:rPr>
                <w:color w:val="000000" w:themeColor="text1"/>
                <w:sz w:val="16"/>
                <w:szCs w:val="16"/>
              </w:rPr>
            </w:pPr>
            <w:r w:rsidRPr="00A1333F">
              <w:rPr>
                <w:color w:val="000000" w:themeColor="text1"/>
                <w:sz w:val="16"/>
                <w:szCs w:val="16"/>
              </w:rPr>
              <w:t>Pre-Test &amp; Post-Test</w:t>
            </w:r>
          </w:p>
        </w:tc>
        <w:tc>
          <w:tcPr>
            <w:tcW w:w="810" w:type="dxa"/>
            <w:shd w:val="clear" w:color="auto" w:fill="auto"/>
            <w:hideMark/>
          </w:tcPr>
          <w:p w14:paraId="4DF64B8C" w14:textId="77777777" w:rsidR="00D60F03" w:rsidRPr="00A1333F" w:rsidRDefault="00D60F03" w:rsidP="00A1333F">
            <w:pPr>
              <w:adjustRightInd w:val="0"/>
              <w:ind w:left="60" w:right="60"/>
              <w:jc w:val="center"/>
              <w:rPr>
                <w:color w:val="000000" w:themeColor="text1"/>
                <w:sz w:val="16"/>
                <w:szCs w:val="16"/>
              </w:rPr>
            </w:pPr>
            <w:r w:rsidRPr="00A1333F">
              <w:rPr>
                <w:color w:val="000000" w:themeColor="text1"/>
                <w:sz w:val="16"/>
                <w:szCs w:val="16"/>
              </w:rPr>
              <w:t>37</w:t>
            </w:r>
          </w:p>
        </w:tc>
        <w:tc>
          <w:tcPr>
            <w:tcW w:w="2190" w:type="dxa"/>
            <w:shd w:val="clear" w:color="auto" w:fill="auto"/>
            <w:hideMark/>
          </w:tcPr>
          <w:p w14:paraId="7CBD23A8" w14:textId="77777777" w:rsidR="00D60F03" w:rsidRPr="00A1333F" w:rsidRDefault="00D60F03" w:rsidP="00A1333F">
            <w:pPr>
              <w:adjustRightInd w:val="0"/>
              <w:ind w:left="60" w:right="60"/>
              <w:jc w:val="center"/>
              <w:rPr>
                <w:color w:val="000000" w:themeColor="text1"/>
                <w:sz w:val="16"/>
                <w:szCs w:val="16"/>
              </w:rPr>
            </w:pPr>
            <w:r w:rsidRPr="00A1333F">
              <w:rPr>
                <w:color w:val="000000" w:themeColor="text1"/>
                <w:sz w:val="16"/>
                <w:szCs w:val="16"/>
              </w:rPr>
              <w:t>.631</w:t>
            </w:r>
          </w:p>
        </w:tc>
        <w:tc>
          <w:tcPr>
            <w:tcW w:w="1558" w:type="dxa"/>
            <w:shd w:val="clear" w:color="auto" w:fill="auto"/>
            <w:hideMark/>
          </w:tcPr>
          <w:p w14:paraId="7F0DD026" w14:textId="77777777" w:rsidR="00D60F03" w:rsidRPr="00A1333F" w:rsidRDefault="00D60F03" w:rsidP="00A1333F">
            <w:pPr>
              <w:adjustRightInd w:val="0"/>
              <w:ind w:left="60" w:right="60"/>
              <w:jc w:val="center"/>
              <w:rPr>
                <w:color w:val="000000" w:themeColor="text1"/>
                <w:sz w:val="16"/>
                <w:szCs w:val="16"/>
              </w:rPr>
            </w:pPr>
            <w:r w:rsidRPr="00A1333F">
              <w:rPr>
                <w:color w:val="000000" w:themeColor="text1"/>
                <w:sz w:val="16"/>
                <w:szCs w:val="16"/>
              </w:rPr>
              <w:t>.000</w:t>
            </w:r>
          </w:p>
        </w:tc>
      </w:tr>
    </w:tbl>
    <w:p w14:paraId="5C4D113B" w14:textId="77777777" w:rsidR="00D60F03" w:rsidRPr="00D60F03" w:rsidRDefault="00D60F03" w:rsidP="00A1333F">
      <w:pPr>
        <w:pStyle w:val="ListParagraph"/>
        <w:adjustRightInd w:val="0"/>
        <w:spacing w:after="0"/>
        <w:rPr>
          <w:rFonts w:asciiTheme="minorHAnsi" w:hAnsiTheme="minorHAnsi" w:cstheme="minorHAnsi"/>
          <w:color w:val="000000" w:themeColor="text1"/>
          <w:sz w:val="24"/>
          <w:szCs w:val="24"/>
        </w:rPr>
      </w:pPr>
    </w:p>
    <w:p w14:paraId="37B98BDD" w14:textId="77777777" w:rsidR="00AC7D98" w:rsidRDefault="00AC7D98" w:rsidP="00A1333F">
      <w:pPr>
        <w:pStyle w:val="ListParagraph"/>
        <w:adjustRightInd w:val="0"/>
        <w:spacing w:after="0"/>
        <w:ind w:right="60"/>
        <w:jc w:val="center"/>
        <w:rPr>
          <w:rFonts w:ascii="Times New Roman" w:hAnsi="Times New Roman"/>
          <w:bCs/>
          <w:color w:val="010205"/>
          <w:sz w:val="20"/>
          <w:szCs w:val="20"/>
        </w:rPr>
      </w:pPr>
    </w:p>
    <w:p w14:paraId="64377566" w14:textId="77777777" w:rsidR="00AC7D98" w:rsidRDefault="00AC7D98" w:rsidP="00A1333F">
      <w:pPr>
        <w:pStyle w:val="ListParagraph"/>
        <w:adjustRightInd w:val="0"/>
        <w:spacing w:after="0"/>
        <w:ind w:right="60"/>
        <w:jc w:val="center"/>
        <w:rPr>
          <w:rFonts w:ascii="Times New Roman" w:hAnsi="Times New Roman"/>
          <w:bCs/>
          <w:color w:val="010205"/>
          <w:sz w:val="20"/>
          <w:szCs w:val="20"/>
        </w:rPr>
      </w:pPr>
    </w:p>
    <w:p w14:paraId="3E9FBB46" w14:textId="77777777" w:rsidR="00AC7D98" w:rsidRDefault="00AC7D98" w:rsidP="00A1333F">
      <w:pPr>
        <w:pStyle w:val="ListParagraph"/>
        <w:adjustRightInd w:val="0"/>
        <w:spacing w:after="0"/>
        <w:ind w:right="60"/>
        <w:jc w:val="center"/>
        <w:rPr>
          <w:rFonts w:ascii="Times New Roman" w:hAnsi="Times New Roman"/>
          <w:bCs/>
          <w:color w:val="010205"/>
          <w:sz w:val="20"/>
          <w:szCs w:val="20"/>
        </w:rPr>
      </w:pPr>
    </w:p>
    <w:p w14:paraId="10E03184" w14:textId="77777777" w:rsidR="00AC7D98" w:rsidRDefault="00AC7D98" w:rsidP="00A1333F">
      <w:pPr>
        <w:pStyle w:val="ListParagraph"/>
        <w:adjustRightInd w:val="0"/>
        <w:spacing w:after="0"/>
        <w:ind w:right="60"/>
        <w:jc w:val="center"/>
        <w:rPr>
          <w:rFonts w:ascii="Times New Roman" w:hAnsi="Times New Roman"/>
          <w:bCs/>
          <w:color w:val="010205"/>
          <w:sz w:val="20"/>
          <w:szCs w:val="20"/>
        </w:rPr>
      </w:pPr>
    </w:p>
    <w:p w14:paraId="139AE432" w14:textId="77777777" w:rsidR="00D60F03" w:rsidRPr="00A1333F" w:rsidRDefault="00D60F03" w:rsidP="00A1333F">
      <w:pPr>
        <w:pStyle w:val="ListParagraph"/>
        <w:adjustRightInd w:val="0"/>
        <w:spacing w:after="0"/>
        <w:ind w:right="60"/>
        <w:jc w:val="center"/>
        <w:rPr>
          <w:rFonts w:ascii="Times New Roman" w:hAnsi="Times New Roman"/>
          <w:bCs/>
          <w:color w:val="010205"/>
          <w:sz w:val="20"/>
          <w:szCs w:val="20"/>
        </w:rPr>
      </w:pPr>
      <w:proofErr w:type="gramStart"/>
      <w:r w:rsidRPr="00A1333F">
        <w:rPr>
          <w:rFonts w:ascii="Times New Roman" w:hAnsi="Times New Roman"/>
          <w:bCs/>
          <w:color w:val="010205"/>
          <w:sz w:val="20"/>
          <w:szCs w:val="20"/>
        </w:rPr>
        <w:lastRenderedPageBreak/>
        <w:t>Table 6.</w:t>
      </w:r>
      <w:proofErr w:type="gramEnd"/>
      <w:r w:rsidRPr="00A1333F">
        <w:rPr>
          <w:rFonts w:ascii="Times New Roman" w:hAnsi="Times New Roman"/>
          <w:bCs/>
          <w:color w:val="010205"/>
          <w:sz w:val="20"/>
          <w:szCs w:val="20"/>
        </w:rPr>
        <w:t xml:space="preserve"> Paired samples test</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35"/>
        <w:gridCol w:w="1049"/>
        <w:gridCol w:w="993"/>
        <w:gridCol w:w="1275"/>
        <w:gridCol w:w="1134"/>
        <w:gridCol w:w="1276"/>
        <w:gridCol w:w="709"/>
        <w:gridCol w:w="567"/>
        <w:gridCol w:w="850"/>
      </w:tblGrid>
      <w:tr w:rsidR="00D60F03" w:rsidRPr="005359EB" w14:paraId="2850E95C" w14:textId="77777777" w:rsidTr="00A1333F">
        <w:tc>
          <w:tcPr>
            <w:tcW w:w="935" w:type="dxa"/>
            <w:vMerge w:val="restart"/>
          </w:tcPr>
          <w:p w14:paraId="38310AE3" w14:textId="77777777" w:rsidR="00D60F03" w:rsidRPr="00A1333F" w:rsidRDefault="00D60F03" w:rsidP="001550B3">
            <w:pPr>
              <w:adjustRightInd w:val="0"/>
              <w:ind w:right="60"/>
              <w:rPr>
                <w:bCs/>
                <w:color w:val="010205"/>
                <w:sz w:val="16"/>
                <w:szCs w:val="16"/>
              </w:rPr>
            </w:pPr>
          </w:p>
        </w:tc>
        <w:tc>
          <w:tcPr>
            <w:tcW w:w="5727" w:type="dxa"/>
            <w:gridSpan w:val="5"/>
          </w:tcPr>
          <w:p w14:paraId="4C7B6D32"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Paired Differences</w:t>
            </w:r>
          </w:p>
        </w:tc>
        <w:tc>
          <w:tcPr>
            <w:tcW w:w="709" w:type="dxa"/>
            <w:vMerge w:val="restart"/>
          </w:tcPr>
          <w:p w14:paraId="361902FD" w14:textId="77777777" w:rsidR="00D60F03" w:rsidRPr="00A1333F" w:rsidRDefault="00D60F03" w:rsidP="001550B3">
            <w:pPr>
              <w:adjustRightInd w:val="0"/>
              <w:ind w:right="60"/>
              <w:jc w:val="center"/>
              <w:rPr>
                <w:bCs/>
                <w:color w:val="010205"/>
                <w:sz w:val="16"/>
                <w:szCs w:val="16"/>
              </w:rPr>
            </w:pPr>
          </w:p>
        </w:tc>
        <w:tc>
          <w:tcPr>
            <w:tcW w:w="567" w:type="dxa"/>
            <w:vMerge w:val="restart"/>
          </w:tcPr>
          <w:p w14:paraId="789465FE" w14:textId="77777777" w:rsidR="00D60F03" w:rsidRPr="00A1333F" w:rsidRDefault="00D60F03" w:rsidP="001550B3">
            <w:pPr>
              <w:adjustRightInd w:val="0"/>
              <w:ind w:right="60"/>
              <w:jc w:val="center"/>
              <w:rPr>
                <w:bCs/>
                <w:color w:val="010205"/>
                <w:sz w:val="16"/>
                <w:szCs w:val="16"/>
              </w:rPr>
            </w:pPr>
          </w:p>
        </w:tc>
        <w:tc>
          <w:tcPr>
            <w:tcW w:w="850" w:type="dxa"/>
            <w:vMerge w:val="restart"/>
          </w:tcPr>
          <w:p w14:paraId="7019C96A" w14:textId="77777777" w:rsidR="00D60F03" w:rsidRPr="00A1333F" w:rsidRDefault="00D60F03" w:rsidP="001550B3">
            <w:pPr>
              <w:adjustRightInd w:val="0"/>
              <w:ind w:right="60"/>
              <w:jc w:val="center"/>
              <w:rPr>
                <w:bCs/>
                <w:color w:val="010205"/>
                <w:sz w:val="16"/>
                <w:szCs w:val="16"/>
              </w:rPr>
            </w:pPr>
          </w:p>
        </w:tc>
      </w:tr>
      <w:tr w:rsidR="00A1333F" w:rsidRPr="005359EB" w14:paraId="62198918" w14:textId="77777777" w:rsidTr="00A1333F">
        <w:tc>
          <w:tcPr>
            <w:tcW w:w="935" w:type="dxa"/>
            <w:vMerge/>
          </w:tcPr>
          <w:p w14:paraId="43154005" w14:textId="77777777" w:rsidR="00D60F03" w:rsidRPr="00A1333F" w:rsidRDefault="00D60F03" w:rsidP="001550B3">
            <w:pPr>
              <w:adjustRightInd w:val="0"/>
              <w:ind w:right="60"/>
              <w:rPr>
                <w:bCs/>
                <w:color w:val="010205"/>
                <w:sz w:val="16"/>
                <w:szCs w:val="16"/>
              </w:rPr>
            </w:pPr>
          </w:p>
        </w:tc>
        <w:tc>
          <w:tcPr>
            <w:tcW w:w="1049" w:type="dxa"/>
            <w:vMerge w:val="restart"/>
          </w:tcPr>
          <w:p w14:paraId="2145D23D"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Mean</w:t>
            </w:r>
          </w:p>
          <w:p w14:paraId="0E9F4082" w14:textId="77777777" w:rsidR="00D60F03" w:rsidRPr="00A1333F" w:rsidRDefault="00D60F03" w:rsidP="001550B3">
            <w:pPr>
              <w:adjustRightInd w:val="0"/>
              <w:ind w:right="60"/>
              <w:jc w:val="center"/>
              <w:rPr>
                <w:bCs/>
                <w:color w:val="010205"/>
                <w:sz w:val="16"/>
                <w:szCs w:val="16"/>
              </w:rPr>
            </w:pPr>
          </w:p>
        </w:tc>
        <w:tc>
          <w:tcPr>
            <w:tcW w:w="993" w:type="dxa"/>
            <w:vMerge w:val="restart"/>
          </w:tcPr>
          <w:p w14:paraId="0E7A869C"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Std. Deviation</w:t>
            </w:r>
          </w:p>
        </w:tc>
        <w:tc>
          <w:tcPr>
            <w:tcW w:w="1275" w:type="dxa"/>
            <w:vMerge w:val="restart"/>
          </w:tcPr>
          <w:p w14:paraId="0D8AB7D0" w14:textId="77777777" w:rsidR="00D60F03" w:rsidRPr="00A1333F" w:rsidRDefault="00D60F03" w:rsidP="001550B3">
            <w:pPr>
              <w:adjustRightInd w:val="0"/>
              <w:ind w:right="60"/>
              <w:jc w:val="center"/>
              <w:rPr>
                <w:bCs/>
                <w:color w:val="010205"/>
                <w:sz w:val="16"/>
                <w:szCs w:val="16"/>
              </w:rPr>
            </w:pPr>
            <w:proofErr w:type="spellStart"/>
            <w:r w:rsidRPr="00A1333F">
              <w:rPr>
                <w:bCs/>
                <w:color w:val="010205"/>
                <w:sz w:val="16"/>
                <w:szCs w:val="16"/>
              </w:rPr>
              <w:t>Std.Error</w:t>
            </w:r>
            <w:proofErr w:type="spellEnd"/>
            <w:r w:rsidRPr="00A1333F">
              <w:rPr>
                <w:bCs/>
                <w:color w:val="010205"/>
                <w:sz w:val="16"/>
                <w:szCs w:val="16"/>
              </w:rPr>
              <w:t xml:space="preserve"> Mean</w:t>
            </w:r>
          </w:p>
        </w:tc>
        <w:tc>
          <w:tcPr>
            <w:tcW w:w="2410" w:type="dxa"/>
            <w:gridSpan w:val="2"/>
          </w:tcPr>
          <w:p w14:paraId="1DBA4F53"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 xml:space="preserve">95% Confidence </w:t>
            </w:r>
            <w:proofErr w:type="spellStart"/>
            <w:r w:rsidRPr="00A1333F">
              <w:rPr>
                <w:bCs/>
                <w:color w:val="010205"/>
                <w:sz w:val="16"/>
                <w:szCs w:val="16"/>
              </w:rPr>
              <w:t>Inteval</w:t>
            </w:r>
            <w:proofErr w:type="spellEnd"/>
            <w:r w:rsidRPr="00A1333F">
              <w:rPr>
                <w:bCs/>
                <w:color w:val="010205"/>
                <w:sz w:val="16"/>
                <w:szCs w:val="16"/>
              </w:rPr>
              <w:t xml:space="preserve"> of The Difference</w:t>
            </w:r>
          </w:p>
        </w:tc>
        <w:tc>
          <w:tcPr>
            <w:tcW w:w="709" w:type="dxa"/>
            <w:vMerge/>
          </w:tcPr>
          <w:p w14:paraId="0F81F5CD" w14:textId="77777777" w:rsidR="00D60F03" w:rsidRPr="00A1333F" w:rsidRDefault="00D60F03" w:rsidP="001550B3">
            <w:pPr>
              <w:adjustRightInd w:val="0"/>
              <w:ind w:right="60"/>
              <w:jc w:val="center"/>
              <w:rPr>
                <w:bCs/>
                <w:color w:val="010205"/>
                <w:sz w:val="16"/>
                <w:szCs w:val="16"/>
              </w:rPr>
            </w:pPr>
          </w:p>
        </w:tc>
        <w:tc>
          <w:tcPr>
            <w:tcW w:w="567" w:type="dxa"/>
            <w:vMerge/>
          </w:tcPr>
          <w:p w14:paraId="07BF7A5D" w14:textId="77777777" w:rsidR="00D60F03" w:rsidRPr="00A1333F" w:rsidRDefault="00D60F03" w:rsidP="001550B3">
            <w:pPr>
              <w:adjustRightInd w:val="0"/>
              <w:ind w:right="60"/>
              <w:jc w:val="center"/>
              <w:rPr>
                <w:bCs/>
                <w:color w:val="010205"/>
                <w:sz w:val="16"/>
                <w:szCs w:val="16"/>
              </w:rPr>
            </w:pPr>
          </w:p>
        </w:tc>
        <w:tc>
          <w:tcPr>
            <w:tcW w:w="850" w:type="dxa"/>
            <w:vMerge/>
          </w:tcPr>
          <w:p w14:paraId="57C600CC" w14:textId="77777777" w:rsidR="00D60F03" w:rsidRPr="00A1333F" w:rsidRDefault="00D60F03" w:rsidP="001550B3">
            <w:pPr>
              <w:adjustRightInd w:val="0"/>
              <w:ind w:right="60"/>
              <w:jc w:val="center"/>
              <w:rPr>
                <w:bCs/>
                <w:color w:val="010205"/>
                <w:sz w:val="16"/>
                <w:szCs w:val="16"/>
              </w:rPr>
            </w:pPr>
          </w:p>
        </w:tc>
      </w:tr>
      <w:tr w:rsidR="00A1333F" w:rsidRPr="005359EB" w14:paraId="5C517CF4" w14:textId="77777777" w:rsidTr="00A1333F">
        <w:tc>
          <w:tcPr>
            <w:tcW w:w="935" w:type="dxa"/>
            <w:vMerge/>
          </w:tcPr>
          <w:p w14:paraId="08AD48A5" w14:textId="77777777" w:rsidR="00D60F03" w:rsidRPr="00A1333F" w:rsidRDefault="00D60F03" w:rsidP="001550B3">
            <w:pPr>
              <w:adjustRightInd w:val="0"/>
              <w:ind w:right="60"/>
              <w:rPr>
                <w:bCs/>
                <w:color w:val="010205"/>
                <w:sz w:val="16"/>
                <w:szCs w:val="16"/>
              </w:rPr>
            </w:pPr>
          </w:p>
        </w:tc>
        <w:tc>
          <w:tcPr>
            <w:tcW w:w="1049" w:type="dxa"/>
            <w:vMerge/>
          </w:tcPr>
          <w:p w14:paraId="7AC89D22" w14:textId="77777777" w:rsidR="00D60F03" w:rsidRPr="00A1333F" w:rsidRDefault="00D60F03" w:rsidP="001550B3">
            <w:pPr>
              <w:adjustRightInd w:val="0"/>
              <w:ind w:right="60"/>
              <w:jc w:val="center"/>
              <w:rPr>
                <w:bCs/>
                <w:color w:val="010205"/>
                <w:sz w:val="16"/>
                <w:szCs w:val="16"/>
              </w:rPr>
            </w:pPr>
          </w:p>
        </w:tc>
        <w:tc>
          <w:tcPr>
            <w:tcW w:w="993" w:type="dxa"/>
            <w:vMerge/>
          </w:tcPr>
          <w:p w14:paraId="7D410E38" w14:textId="77777777" w:rsidR="00D60F03" w:rsidRPr="00A1333F" w:rsidRDefault="00D60F03" w:rsidP="001550B3">
            <w:pPr>
              <w:adjustRightInd w:val="0"/>
              <w:ind w:right="60"/>
              <w:jc w:val="center"/>
              <w:rPr>
                <w:bCs/>
                <w:color w:val="010205"/>
                <w:sz w:val="16"/>
                <w:szCs w:val="16"/>
              </w:rPr>
            </w:pPr>
          </w:p>
        </w:tc>
        <w:tc>
          <w:tcPr>
            <w:tcW w:w="1275" w:type="dxa"/>
            <w:vMerge/>
          </w:tcPr>
          <w:p w14:paraId="43CB77B3" w14:textId="77777777" w:rsidR="00D60F03" w:rsidRPr="00A1333F" w:rsidRDefault="00D60F03" w:rsidP="001550B3">
            <w:pPr>
              <w:adjustRightInd w:val="0"/>
              <w:ind w:right="60"/>
              <w:jc w:val="center"/>
              <w:rPr>
                <w:bCs/>
                <w:color w:val="010205"/>
                <w:sz w:val="16"/>
                <w:szCs w:val="16"/>
              </w:rPr>
            </w:pPr>
          </w:p>
        </w:tc>
        <w:tc>
          <w:tcPr>
            <w:tcW w:w="1134" w:type="dxa"/>
          </w:tcPr>
          <w:p w14:paraId="6FBBE385"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Lower</w:t>
            </w:r>
          </w:p>
        </w:tc>
        <w:tc>
          <w:tcPr>
            <w:tcW w:w="1276" w:type="dxa"/>
          </w:tcPr>
          <w:p w14:paraId="161448D3"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Upper</w:t>
            </w:r>
          </w:p>
        </w:tc>
        <w:tc>
          <w:tcPr>
            <w:tcW w:w="709" w:type="dxa"/>
          </w:tcPr>
          <w:p w14:paraId="233A8286"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t</w:t>
            </w:r>
          </w:p>
        </w:tc>
        <w:tc>
          <w:tcPr>
            <w:tcW w:w="567" w:type="dxa"/>
          </w:tcPr>
          <w:p w14:paraId="16AE072E" w14:textId="77777777" w:rsidR="00D60F03" w:rsidRPr="00A1333F" w:rsidRDefault="00D60F03" w:rsidP="001550B3">
            <w:pPr>
              <w:adjustRightInd w:val="0"/>
              <w:ind w:right="60"/>
              <w:jc w:val="center"/>
              <w:rPr>
                <w:bCs/>
                <w:color w:val="010205"/>
                <w:sz w:val="16"/>
                <w:szCs w:val="16"/>
              </w:rPr>
            </w:pPr>
            <w:proofErr w:type="spellStart"/>
            <w:r w:rsidRPr="00A1333F">
              <w:rPr>
                <w:bCs/>
                <w:color w:val="010205"/>
                <w:sz w:val="16"/>
                <w:szCs w:val="16"/>
              </w:rPr>
              <w:t>df</w:t>
            </w:r>
            <w:proofErr w:type="spellEnd"/>
          </w:p>
        </w:tc>
        <w:tc>
          <w:tcPr>
            <w:tcW w:w="850" w:type="dxa"/>
          </w:tcPr>
          <w:p w14:paraId="2D56218A" w14:textId="77777777" w:rsidR="00D60F03" w:rsidRPr="00A1333F" w:rsidRDefault="00D60F03" w:rsidP="001550B3">
            <w:pPr>
              <w:adjustRightInd w:val="0"/>
              <w:ind w:right="60"/>
              <w:jc w:val="center"/>
              <w:rPr>
                <w:bCs/>
                <w:color w:val="010205"/>
                <w:sz w:val="16"/>
                <w:szCs w:val="16"/>
              </w:rPr>
            </w:pPr>
            <w:proofErr w:type="spellStart"/>
            <w:r w:rsidRPr="00A1333F">
              <w:rPr>
                <w:bCs/>
                <w:color w:val="010205"/>
                <w:sz w:val="16"/>
                <w:szCs w:val="16"/>
              </w:rPr>
              <w:t>Sif</w:t>
            </w:r>
            <w:proofErr w:type="spellEnd"/>
            <w:r w:rsidRPr="00A1333F">
              <w:rPr>
                <w:bCs/>
                <w:color w:val="010205"/>
                <w:sz w:val="16"/>
                <w:szCs w:val="16"/>
              </w:rPr>
              <w:t>.(2-Tailed)</w:t>
            </w:r>
          </w:p>
        </w:tc>
      </w:tr>
      <w:tr w:rsidR="00A1333F" w:rsidRPr="005359EB" w14:paraId="26C1BC77" w14:textId="77777777" w:rsidTr="00A1333F">
        <w:tc>
          <w:tcPr>
            <w:tcW w:w="935" w:type="dxa"/>
          </w:tcPr>
          <w:p w14:paraId="3D3383F8" w14:textId="77777777" w:rsidR="00D60F03" w:rsidRPr="00A1333F" w:rsidRDefault="00D60F03" w:rsidP="001550B3">
            <w:pPr>
              <w:adjustRightInd w:val="0"/>
              <w:ind w:right="60"/>
              <w:rPr>
                <w:bCs/>
                <w:color w:val="010205"/>
                <w:sz w:val="16"/>
                <w:szCs w:val="16"/>
              </w:rPr>
            </w:pPr>
            <w:r w:rsidRPr="00A1333F">
              <w:rPr>
                <w:bCs/>
                <w:color w:val="010205"/>
                <w:sz w:val="16"/>
                <w:szCs w:val="16"/>
              </w:rPr>
              <w:t xml:space="preserve">Pair </w:t>
            </w:r>
            <w:proofErr w:type="spellStart"/>
            <w:r w:rsidRPr="00A1333F">
              <w:rPr>
                <w:bCs/>
                <w:color w:val="010205"/>
                <w:sz w:val="16"/>
                <w:szCs w:val="16"/>
              </w:rPr>
              <w:t>Pte</w:t>
            </w:r>
            <w:proofErr w:type="spellEnd"/>
            <w:r w:rsidRPr="00A1333F">
              <w:rPr>
                <w:bCs/>
                <w:color w:val="010205"/>
                <w:sz w:val="16"/>
                <w:szCs w:val="16"/>
              </w:rPr>
              <w:t>-test-</w:t>
            </w:r>
            <w:proofErr w:type="spellStart"/>
            <w:r w:rsidRPr="00A1333F">
              <w:rPr>
                <w:bCs/>
                <w:color w:val="010205"/>
                <w:sz w:val="16"/>
                <w:szCs w:val="16"/>
              </w:rPr>
              <w:t>Posttes</w:t>
            </w:r>
            <w:proofErr w:type="spellEnd"/>
          </w:p>
        </w:tc>
        <w:tc>
          <w:tcPr>
            <w:tcW w:w="1049" w:type="dxa"/>
          </w:tcPr>
          <w:p w14:paraId="7C5A8713"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-14.00000</w:t>
            </w:r>
          </w:p>
        </w:tc>
        <w:tc>
          <w:tcPr>
            <w:tcW w:w="993" w:type="dxa"/>
          </w:tcPr>
          <w:p w14:paraId="37FCD6C5"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9.32183</w:t>
            </w:r>
          </w:p>
        </w:tc>
        <w:tc>
          <w:tcPr>
            <w:tcW w:w="1275" w:type="dxa"/>
          </w:tcPr>
          <w:p w14:paraId="79C80892"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1.70193</w:t>
            </w:r>
          </w:p>
        </w:tc>
        <w:tc>
          <w:tcPr>
            <w:tcW w:w="1134" w:type="dxa"/>
          </w:tcPr>
          <w:p w14:paraId="09FDD469"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-17.48083</w:t>
            </w:r>
          </w:p>
        </w:tc>
        <w:tc>
          <w:tcPr>
            <w:tcW w:w="1276" w:type="dxa"/>
          </w:tcPr>
          <w:p w14:paraId="69CA6DEC"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-10.51917</w:t>
            </w:r>
          </w:p>
        </w:tc>
        <w:tc>
          <w:tcPr>
            <w:tcW w:w="709" w:type="dxa"/>
          </w:tcPr>
          <w:p w14:paraId="15E7F644"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-8.226</w:t>
            </w:r>
          </w:p>
        </w:tc>
        <w:tc>
          <w:tcPr>
            <w:tcW w:w="567" w:type="dxa"/>
          </w:tcPr>
          <w:p w14:paraId="7EDF4805"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29</w:t>
            </w:r>
          </w:p>
        </w:tc>
        <w:tc>
          <w:tcPr>
            <w:tcW w:w="850" w:type="dxa"/>
          </w:tcPr>
          <w:p w14:paraId="56DAE64B" w14:textId="77777777" w:rsidR="00D60F03" w:rsidRPr="00A1333F" w:rsidRDefault="00D60F03" w:rsidP="001550B3">
            <w:pPr>
              <w:adjustRightInd w:val="0"/>
              <w:ind w:right="60"/>
              <w:jc w:val="center"/>
              <w:rPr>
                <w:bCs/>
                <w:color w:val="010205"/>
                <w:sz w:val="16"/>
                <w:szCs w:val="16"/>
              </w:rPr>
            </w:pPr>
            <w:r w:rsidRPr="00A1333F">
              <w:rPr>
                <w:bCs/>
                <w:color w:val="010205"/>
                <w:sz w:val="16"/>
                <w:szCs w:val="16"/>
              </w:rPr>
              <w:t>.000</w:t>
            </w:r>
          </w:p>
        </w:tc>
      </w:tr>
    </w:tbl>
    <w:p w14:paraId="56FCFC90" w14:textId="77777777" w:rsidR="00A1333F" w:rsidRDefault="00A1333F" w:rsidP="00A1333F">
      <w:pPr>
        <w:ind w:right="858"/>
        <w:rPr>
          <w:rFonts w:asciiTheme="minorHAnsi" w:hAnsiTheme="minorHAnsi" w:cstheme="minorHAnsi"/>
        </w:rPr>
      </w:pPr>
    </w:p>
    <w:p w14:paraId="084FBFF4" w14:textId="77777777" w:rsidR="00A1333F" w:rsidRPr="00A1333F" w:rsidRDefault="00D60F03" w:rsidP="00A1333F">
      <w:pPr>
        <w:ind w:right="-1" w:firstLine="709"/>
        <w:jc w:val="both"/>
        <w:rPr>
          <w:b/>
        </w:rPr>
      </w:pPr>
      <w:r w:rsidRPr="00A1333F">
        <w:t xml:space="preserve">The Paired Sample Test Table was the main output table showing the results of the tests carried out. This can be seen from the 2-tailed value in the table. The 2-tailed value of this case = 0.000 (p &lt;0.05). </w:t>
      </w:r>
      <w:proofErr w:type="gramStart"/>
      <w:r w:rsidRPr="00A1333F">
        <w:t>Therefore, the results of the pre-test and post-test experience significant changes (meaningful).</w:t>
      </w:r>
      <w:proofErr w:type="gramEnd"/>
      <w:r w:rsidRPr="00A1333F">
        <w:t xml:space="preserve"> Data analysis (Table 3) shows that before applying the educational game learning model "</w:t>
      </w:r>
      <w:proofErr w:type="spellStart"/>
      <w:r w:rsidRPr="00A1333F">
        <w:rPr>
          <w:i/>
        </w:rPr>
        <w:t>Kahoot</w:t>
      </w:r>
      <w:proofErr w:type="spellEnd"/>
      <w:proofErr w:type="gramStart"/>
      <w:r w:rsidRPr="00A1333F">
        <w:rPr>
          <w:i/>
        </w:rPr>
        <w:t>!</w:t>
      </w:r>
      <w:r w:rsidRPr="00A1333F">
        <w:t>,</w:t>
      </w:r>
      <w:proofErr w:type="gramEnd"/>
      <w:r w:rsidRPr="00A1333F">
        <w:t>" the value is 70.43. After the application of the "</w:t>
      </w:r>
      <w:proofErr w:type="spellStart"/>
      <w:r w:rsidRPr="00A1333F">
        <w:rPr>
          <w:i/>
        </w:rPr>
        <w:t>Kahoot</w:t>
      </w:r>
      <w:proofErr w:type="spellEnd"/>
      <w:r w:rsidRPr="00A1333F">
        <w:rPr>
          <w:i/>
        </w:rPr>
        <w:t>!</w:t>
      </w:r>
      <w:r w:rsidRPr="00A1333F">
        <w:t>" education game, the value is 87.68. This difference shows a significant result, because the p-value &lt;0.05 = p = 0.</w:t>
      </w:r>
    </w:p>
    <w:p w14:paraId="7C427C14" w14:textId="747D4F57" w:rsidR="00A1333F" w:rsidRPr="00A1333F" w:rsidRDefault="00D60F03" w:rsidP="00A1333F">
      <w:pPr>
        <w:ind w:right="-1" w:firstLine="709"/>
        <w:jc w:val="both"/>
        <w:rPr>
          <w:b/>
        </w:rPr>
      </w:pPr>
      <w:r w:rsidRPr="00A1333F">
        <w:t>Data analysis shows that the educational game "</w:t>
      </w:r>
      <w:proofErr w:type="spellStart"/>
      <w:r w:rsidRPr="00A1333F">
        <w:rPr>
          <w:i/>
        </w:rPr>
        <w:t>Kahoot</w:t>
      </w:r>
      <w:proofErr w:type="spellEnd"/>
      <w:r w:rsidRPr="00A1333F">
        <w:rPr>
          <w:i/>
        </w:rPr>
        <w:t>!</w:t>
      </w:r>
      <w:r w:rsidRPr="00A1333F">
        <w:t>" positively affects learning outcomes in the </w:t>
      </w:r>
      <w:proofErr w:type="spellStart"/>
      <w:r w:rsidRPr="00A1333F">
        <w:rPr>
          <w:i/>
          <w:iCs/>
        </w:rPr>
        <w:t>Sprechfertigkeit</w:t>
      </w:r>
      <w:proofErr w:type="spellEnd"/>
      <w:r w:rsidRPr="00A1333F">
        <w:t> 2 course. This proves that the application of the educational game "</w:t>
      </w:r>
      <w:proofErr w:type="spellStart"/>
      <w:r w:rsidRPr="00A1333F">
        <w:rPr>
          <w:i/>
        </w:rPr>
        <w:t>Kahoot</w:t>
      </w:r>
      <w:proofErr w:type="spellEnd"/>
      <w:r w:rsidRPr="00A1333F">
        <w:rPr>
          <w:i/>
        </w:rPr>
        <w:t>!</w:t>
      </w:r>
      <w:r w:rsidRPr="00A1333F">
        <w:t>" was stable. This also improved students' understanding of the learning material delivered by the lecturer. This result was due to the application of the educational game "</w:t>
      </w:r>
      <w:proofErr w:type="spellStart"/>
      <w:r w:rsidRPr="00A1333F">
        <w:rPr>
          <w:i/>
        </w:rPr>
        <w:t>Kahoot</w:t>
      </w:r>
      <w:proofErr w:type="spellEnd"/>
      <w:proofErr w:type="gramStart"/>
      <w:r w:rsidRPr="00A1333F">
        <w:rPr>
          <w:i/>
        </w:rPr>
        <w:t>!</w:t>
      </w:r>
      <w:r w:rsidRPr="00A1333F">
        <w:t>.</w:t>
      </w:r>
      <w:proofErr w:type="gramEnd"/>
      <w:r w:rsidRPr="00A1333F">
        <w:t xml:space="preserve">" Students learn independently and compete and are encouraged by lecturers to improve learning achievement because lecturers are learning "motivators" for students </w:t>
      </w:r>
      <w:r w:rsidRPr="00A1333F">
        <w:fldChar w:fldCharType="begin" w:fldLock="1"/>
      </w:r>
      <w:r w:rsidR="00AC7D98">
        <w:instrText>ADDIN CSL_CITATION {"citationItems":[{"id":"ITEM-1","itemData":{"DOI":"10.25304/rlt.v27.2225","ISSN":"21567077","abstract":"Gamification of instructional activities is a useful approach that educators can use to promote more effective learning environments by increasing problem-solving, critical thinking and competence in the classroom. ‘KAHOOT!’ is an online multi-player real-time quiz game that allows students to measure learning in an engaging, immediate and entertaining manner. Lecturers can measure how well students absorb information and tailor their teaching to the next step or re-teach a concept after poor uptake by students. Seventy-two students participated in a 20-question survey about their experiences with ‘KAHOOT!’. Engagement scores were correlated with assessment grades to measure if ‘KAHOOT!’ affected student learning and achievement. The survey was deemed statistically sound in reliability and validity testing, and a principal components analysis (PCA) revealed that the attributes were strongly linked. There was no relationship between engagement score and assessment grade, indicating that ‘KAHOOT’!’ did not directly increase achievement. However, assessment of individual responses identified that students found it to be a positive social learning technology as it provided a fun, competitive and immersive end to a class. The benefits of fostering engagement, enjoyment and immersion within adult learning are especially important for maintaining a level of achievement within education to ensure that students are better equipped to deal with challenges and can turn a potential failure into an opportunity to improve their scholarship. The challenge provided by this study is to identify now how to measure the value of ‘fun’ activities in the tertiary classroom as a reinforcer for engagement, participation and learning.","author":[{"dropping-particle":"","family":"Cameron","given":"Kristie E.","non-dropping-particle":"","parse-names":false,"suffix":""},{"dropping-particle":"","family":"Bizo","given":"Lewis A.","non-dropping-particle":"","parse-names":false,"suffix":""}],"container-title":"Research in Learning Technology","id":"ITEM-1","issue":"May","issued":{"date-parts":[["2019"]]},"title":"Use of the game-based learning platform KAHOOT! to facilitate learner engagement in animal science students","type":"article-journal","volume":"27"},"uris":["http://www.mendeley.com/documents/?uuid=d8a4ed17-fa63-4838-9510-1e77fe576678"]}],"mendeley":{"formattedCitation":"[30]","plainTextFormattedCitation":"[30]","previouslyFormattedCitation":"[30]"},"properties":{"noteIndex":0},"schema":"https://github.com/citation-style-language/schema/raw/master/csl-citation.json"}</w:instrText>
      </w:r>
      <w:r w:rsidRPr="00A1333F">
        <w:fldChar w:fldCharType="separate"/>
      </w:r>
      <w:r w:rsidR="00AC7D98" w:rsidRPr="00AC7D98">
        <w:rPr>
          <w:noProof/>
        </w:rPr>
        <w:t>[30]</w:t>
      </w:r>
      <w:r w:rsidRPr="00A1333F">
        <w:fldChar w:fldCharType="end"/>
      </w:r>
      <w:r w:rsidRPr="00A1333F">
        <w:t>. Learning with the educational game "</w:t>
      </w:r>
      <w:proofErr w:type="spellStart"/>
      <w:r w:rsidRPr="00A1333F">
        <w:rPr>
          <w:i/>
        </w:rPr>
        <w:t>Kahoot</w:t>
      </w:r>
      <w:proofErr w:type="spellEnd"/>
      <w:r w:rsidRPr="00A1333F">
        <w:rPr>
          <w:i/>
        </w:rPr>
        <w:t>!</w:t>
      </w:r>
      <w:r w:rsidRPr="00A1333F">
        <w:t>" prioritizes independence and a competitive attitude to achieve learning goals by working independently and competing healthily. It is said that because "</w:t>
      </w:r>
      <w:proofErr w:type="spellStart"/>
      <w:r w:rsidRPr="00A1333F">
        <w:rPr>
          <w:i/>
        </w:rPr>
        <w:t>Kahoot</w:t>
      </w:r>
      <w:proofErr w:type="spellEnd"/>
      <w:r w:rsidRPr="00A1333F">
        <w:rPr>
          <w:i/>
        </w:rPr>
        <w:t>!</w:t>
      </w:r>
      <w:r w:rsidRPr="00A1333F">
        <w:t>" educational game allows students to learn aggressively creatively, and not merely as an object of learning, but on the contrary as a subject of learning with maximum creativity and healthy competition in learning.</w:t>
      </w:r>
    </w:p>
    <w:p w14:paraId="3261317B" w14:textId="77777777" w:rsidR="00A1333F" w:rsidRPr="00A1333F" w:rsidRDefault="00D60F03" w:rsidP="00A1333F">
      <w:pPr>
        <w:ind w:right="-1" w:firstLine="709"/>
        <w:jc w:val="both"/>
        <w:rPr>
          <w:b/>
        </w:rPr>
      </w:pPr>
      <w:r w:rsidRPr="00A1333F">
        <w:t>Besides, in expressing and actualizing the results of their thoughts in speaking German, students are more confident because of their enthusiasm to work independently and competitively. Thus, the application of the educational game "</w:t>
      </w:r>
      <w:proofErr w:type="spellStart"/>
      <w:r w:rsidRPr="00A1333F">
        <w:rPr>
          <w:i/>
        </w:rPr>
        <w:t>Kahoot</w:t>
      </w:r>
      <w:proofErr w:type="spellEnd"/>
      <w:r w:rsidRPr="00A1333F">
        <w:rPr>
          <w:i/>
        </w:rPr>
        <w:t>!</w:t>
      </w:r>
      <w:r w:rsidRPr="00A1333F">
        <w:t>" has created a communicative, active, and competitive spirit among students. The application of the educational game "</w:t>
      </w:r>
      <w:proofErr w:type="spellStart"/>
      <w:r w:rsidRPr="00A1333F">
        <w:rPr>
          <w:i/>
        </w:rPr>
        <w:t>Kahoot</w:t>
      </w:r>
      <w:proofErr w:type="spellEnd"/>
      <w:r w:rsidRPr="00A1333F">
        <w:rPr>
          <w:i/>
        </w:rPr>
        <w:t>!</w:t>
      </w:r>
      <w:r w:rsidRPr="00A1333F">
        <w:t>" helps students reduce or eliminate boredom in learning while providing positive values ​​to students to continue to encourage the results of their efforts in learning. Before applying the educational game "</w:t>
      </w:r>
      <w:proofErr w:type="spellStart"/>
      <w:r w:rsidRPr="00A1333F">
        <w:rPr>
          <w:i/>
        </w:rPr>
        <w:t>Kahoot</w:t>
      </w:r>
      <w:proofErr w:type="spellEnd"/>
      <w:proofErr w:type="gramStart"/>
      <w:r w:rsidRPr="00A1333F">
        <w:rPr>
          <w:i/>
        </w:rPr>
        <w:t>!</w:t>
      </w:r>
      <w:r w:rsidRPr="00A1333F">
        <w:t>,</w:t>
      </w:r>
      <w:proofErr w:type="gramEnd"/>
      <w:r w:rsidRPr="00A1333F">
        <w:t>" student learning outcomes in the </w:t>
      </w:r>
      <w:proofErr w:type="spellStart"/>
      <w:r w:rsidRPr="00A1333F">
        <w:rPr>
          <w:i/>
          <w:iCs/>
        </w:rPr>
        <w:t>Sprechfertigkeit</w:t>
      </w:r>
      <w:proofErr w:type="spellEnd"/>
      <w:r w:rsidRPr="00A1333F">
        <w:t> 2 course were very low because the learning methods applied did not vary. As a result, students felt bored and were not interested in learning, and were not motivated to study hard. Conversely, with the application of the educational game "</w:t>
      </w:r>
      <w:proofErr w:type="spellStart"/>
      <w:r w:rsidRPr="00A1333F">
        <w:rPr>
          <w:i/>
        </w:rPr>
        <w:t>Kahoot</w:t>
      </w:r>
      <w:proofErr w:type="spellEnd"/>
      <w:r w:rsidRPr="00A1333F">
        <w:rPr>
          <w:i/>
        </w:rPr>
        <w:t>!</w:t>
      </w:r>
      <w:r w:rsidRPr="00A1333F">
        <w:t>," students are motivated to continue learning followed by continuous improvement in student learning outcomes, which is proved that the educational game "</w:t>
      </w:r>
      <w:proofErr w:type="spellStart"/>
      <w:r w:rsidRPr="00A1333F">
        <w:rPr>
          <w:i/>
        </w:rPr>
        <w:t>Kahoot</w:t>
      </w:r>
      <w:proofErr w:type="spellEnd"/>
      <w:r w:rsidRPr="00A1333F">
        <w:rPr>
          <w:i/>
        </w:rPr>
        <w:t>!</w:t>
      </w:r>
      <w:r w:rsidRPr="00A1333F">
        <w:t>" has a significant impact or influence on student learning outcomes in the </w:t>
      </w:r>
      <w:proofErr w:type="spellStart"/>
      <w:r w:rsidRPr="00A1333F">
        <w:rPr>
          <w:i/>
          <w:iCs/>
        </w:rPr>
        <w:t>Sprechfertigkeit</w:t>
      </w:r>
      <w:proofErr w:type="spellEnd"/>
      <w:r w:rsidRPr="00A1333F">
        <w:t> 2 course. The advantage of the educational game "</w:t>
      </w:r>
      <w:proofErr w:type="spellStart"/>
      <w:r w:rsidRPr="00A1333F">
        <w:rPr>
          <w:i/>
        </w:rPr>
        <w:t>Kahoot</w:t>
      </w:r>
      <w:proofErr w:type="spellEnd"/>
      <w:r w:rsidRPr="00A1333F">
        <w:rPr>
          <w:i/>
        </w:rPr>
        <w:t>!</w:t>
      </w:r>
      <w:r w:rsidRPr="00A1333F">
        <w:t>" in the learning process is that the learning model of the educational game "</w:t>
      </w:r>
      <w:proofErr w:type="spellStart"/>
      <w:r w:rsidRPr="00A1333F">
        <w:rPr>
          <w:i/>
        </w:rPr>
        <w:t>Kahoot</w:t>
      </w:r>
      <w:proofErr w:type="spellEnd"/>
      <w:r w:rsidRPr="00A1333F">
        <w:rPr>
          <w:i/>
        </w:rPr>
        <w:t>!</w:t>
      </w:r>
      <w:r w:rsidRPr="00A1333F">
        <w:t>" varies significantly in the application. Students are highly motivated, active, independent, excited, and competitive in solving learning problems. In the </w:t>
      </w:r>
      <w:proofErr w:type="spellStart"/>
      <w:r w:rsidRPr="00A1333F">
        <w:rPr>
          <w:i/>
          <w:iCs/>
        </w:rPr>
        <w:t>Sprechfertigkeit</w:t>
      </w:r>
      <w:proofErr w:type="spellEnd"/>
      <w:r w:rsidRPr="00A1333F">
        <w:t xml:space="preserve"> 2 course, the learning process carried out to maximize students' ability to understand and master German grammar well, master adequate German vocabulary, be able to pronounce German words well, dare to express opinions, and dare to actualize themselves to others. </w:t>
      </w:r>
    </w:p>
    <w:p w14:paraId="43FFA749" w14:textId="75A05186" w:rsidR="00A1333F" w:rsidRPr="00A1333F" w:rsidRDefault="00D60F03" w:rsidP="00A1333F">
      <w:pPr>
        <w:ind w:right="-1" w:firstLine="709"/>
        <w:jc w:val="both"/>
        <w:rPr>
          <w:b/>
        </w:rPr>
      </w:pPr>
      <w:r w:rsidRPr="00A1333F">
        <w:t xml:space="preserve">Compared with the results of other relevant studies, this study's results do not show any significant differences. One example is the quasi-experiment in which students participated in technology-supported learning using </w:t>
      </w:r>
      <w:proofErr w:type="spellStart"/>
      <w:r w:rsidRPr="00A1333F">
        <w:t>PowToon</w:t>
      </w:r>
      <w:proofErr w:type="spellEnd"/>
      <w:r w:rsidRPr="00A1333F">
        <w:t xml:space="preserve">, </w:t>
      </w:r>
      <w:proofErr w:type="spellStart"/>
      <w:r w:rsidRPr="00A1333F">
        <w:t>Blendspace</w:t>
      </w:r>
      <w:proofErr w:type="spellEnd"/>
      <w:r w:rsidRPr="00A1333F">
        <w:t xml:space="preserve">, and </w:t>
      </w:r>
      <w:proofErr w:type="spellStart"/>
      <w:r w:rsidRPr="00A1333F">
        <w:rPr>
          <w:i/>
        </w:rPr>
        <w:t>Kahoot</w:t>
      </w:r>
      <w:proofErr w:type="spellEnd"/>
      <w:r w:rsidRPr="00A1333F">
        <w:rPr>
          <w:i/>
        </w:rPr>
        <w:t>!</w:t>
      </w:r>
      <w:r w:rsidRPr="00A1333F">
        <w:t xml:space="preserve"> perform significantly better on mean test scores in learning (p &lt;.02) than those who followed traditional teaching </w:t>
      </w:r>
      <w:r w:rsidRPr="00A1333F">
        <w:fldChar w:fldCharType="begin" w:fldLock="1"/>
      </w:r>
      <w:r w:rsidR="00AC7D98">
        <w:instrText>ADDIN CSL_CITATION {"citationItems":[{"id":"ITEM-1","itemData":{"ISBN":"9781941763537","ISSN":"1690-4524","abstract":"Digital natives account for a substantial portion of the total enrollment in higher education. This calls for significant educational reforms because traditional education systems do not cater to the needs and interests of digital natives. The most effective way that both students and instructors can benefit from this paradigm shift is to integrate technology that is appropriate to the cognitive learning patterns of the digital natives into the curriculum. This paper builds upon previous research in technology/personality theory and specifically attempts to provide examples of technology that will address the instructional needs of digital natives. Further this paper provides empirical evidence of the impact of technology integration on the learning outcomes of digital natives. In this study, the authors explored the impact of targeted technology on academic performance in three businesses courses. Three functional technologies were used by the authors to build engaging course content, efficiently manage course content, and to interact with digital native students. This study found that these technologies can assist digital natives in the learning process and lead to better academic performance.","author":[{"dropping-particle":"","family":"Sarkar","given":"Nina","non-dropping-particle":"","parse-names":false,"suffix":""},{"dropping-particle":"","family":"Ford","given":"Wendy","non-dropping-particle":"","parse-names":false,"suffix":""},{"dropping-particle":"","family":"Manzo","given":"Christina","non-dropping-particle":"","parse-names":false,"suffix":""}],"container-title":"ICSIT 2017 - 8th International Conference on Society and Information Technologies, Proceedings","id":"ITEM-1","issue":"2","issued":{"date-parts":[["2017"]]},"page":"178-182","title":"Engaging digital natives through social learning","type":"article-journal","volume":"2017-March"},"uris":["http://www.mendeley.com/documents/?uuid=5044d502-61eb-4fe8-a9f0-8de23088faeb"]}],"mendeley":{"formattedCitation":"[31]","plainTextFormattedCitation":"[31]","previouslyFormattedCitation":"[31]"},"properties":{"noteIndex":0},"schema":"https://github.com/citation-style-language/schema/raw/master/csl-citation.json"}</w:instrText>
      </w:r>
      <w:r w:rsidRPr="00A1333F">
        <w:fldChar w:fldCharType="separate"/>
      </w:r>
      <w:r w:rsidR="00AC7D98" w:rsidRPr="00AC7D98">
        <w:rPr>
          <w:noProof/>
        </w:rPr>
        <w:t>[31]</w:t>
      </w:r>
      <w:r w:rsidRPr="00A1333F">
        <w:fldChar w:fldCharType="end"/>
      </w:r>
      <w:r w:rsidRPr="00A1333F">
        <w:t xml:space="preserve">. Likewise, quasi-experiments in programming learning that examine the effects of traditional teaching </w:t>
      </w:r>
      <w:proofErr w:type="spellStart"/>
      <w:r w:rsidRPr="00A1333F">
        <w:t>vs</w:t>
      </w:r>
      <w:proofErr w:type="spellEnd"/>
      <w:r w:rsidRPr="00A1333F">
        <w:t xml:space="preserve"> </w:t>
      </w:r>
      <w:proofErr w:type="spellStart"/>
      <w:r w:rsidRPr="00A1333F">
        <w:t>gamified</w:t>
      </w:r>
      <w:proofErr w:type="spellEnd"/>
      <w:r w:rsidRPr="00A1333F">
        <w:t xml:space="preserve"> teaching using Who-Wants-To-Become-A-Millionaire, </w:t>
      </w:r>
      <w:proofErr w:type="spellStart"/>
      <w:r w:rsidRPr="00A1333F">
        <w:rPr>
          <w:i/>
        </w:rPr>
        <w:t>Kahoot</w:t>
      </w:r>
      <w:proofErr w:type="spellEnd"/>
      <w:r w:rsidRPr="00A1333F">
        <w:rPr>
          <w:i/>
        </w:rPr>
        <w:t>!</w:t>
      </w:r>
      <w:r w:rsidRPr="00A1333F">
        <w:t xml:space="preserve"> and </w:t>
      </w:r>
      <w:proofErr w:type="spellStart"/>
      <w:r w:rsidRPr="00A1333F">
        <w:t>Codeacademy</w:t>
      </w:r>
      <w:proofErr w:type="spellEnd"/>
      <w:r w:rsidRPr="00A1333F">
        <w:t xml:space="preserve"> programming </w:t>
      </w:r>
      <w:r w:rsidRPr="00A1333F">
        <w:fldChar w:fldCharType="begin" w:fldLock="1"/>
      </w:r>
      <w:r w:rsidR="00AC7D98">
        <w:instrText>ADDIN CSL_CITATION {"citationItems":[{"id":"ITEM-1","itemData":{"ISSN":"14794403","abstract":"Conventional taught learning practices often experience difficulties in keeping students motivated and engaged. Video games, however, are very successful at sustaining high levels of motivation and engagement through a set of tasks for hours without apparent loss of focus. In addition, gamers solve complex problems within a gaming environment without feeling fatigue or frustration, as they would typically do with a comparable learning task. Based on this notion, the academic community is keen on exploring methods that can deliver deep learner engagement and has shown increased interest in adopting gamification – the integration of gaming elements, mechanics, and frameworks into non-game situations and scenarios – as a means to increase student engagement and improve information retention. Its effectiveness when applied to education has been debatable though, as attempts have generally been restricted to one-dimensional approaches such as transposing a trivial reward system onto existing teaching materials and/or assessments. Nevertheless, a gamified, multi-dimensional, problem-based learning approach can yield improved results even when applied to a very complex and traditionally dry task like the teaching of computer programming, as shown in this paper. The presented quasi-experimental study used a combination of instructor feedback, real time sequence of scored quizzes, and live coding to deliver a fully interactive learning experience. More specifically, the “Kahoot!” Classroom Response System (CRS), the classroom version of the TV game show “Who Wants To Be A Millionaire?”, and Codecademy’s interactive platform formed the basis for a learning model which was applied to an entry-level Python programming course. Students were thus allowed to experience multiple interlocking methods similar to those commonly found in a top quality game experience. To assess gamification’s impact on learning, empirical data from the gamified group were compared to those from a control group who was taught through a traditional learning approach, similar to the one which had been used during previous cohorts. Despite this being a relatively small-scale study, the results and findings for a number of key metrics, including attendance, downloading of course material, and final grades, were encouraging and proved that the gamified approach was motivating and enriching for both students and instructors.","author":[{"dropping-particle":"","family":"Fotaris","given":"Panagiotis","non-dropping-particle":"","parse-names":false,"suffix":""},{"dropping-particle":"","family":"Mastoras","given":"Theodoros","non-dropping-particle":"","parse-names":false,"suffix":""},{"dropping-particle":"","family":"Leinfellner","given":"Richard","non-dropping-particle":"","parse-names":false,"suffix":""},{"dropping-particle":"","family":"Rosunally","given":"Yasmine","non-dropping-particle":"","parse-names":false,"suffix":""}],"container-title":"Electronic Journal of e-Learning","id":"ITEM-1","issue":"2","issued":{"date-parts":[["2016"]]},"page":"94-110","title":"Climbing up the leaderboard: An empirical study of applying gamification techniques to a computer programming class","type":"article-journal","volume":"14"},"uris":["http://www.mendeley.com/documents/?uuid=6cea33ce-b764-4334-877b-24a9ec9a2f28"]}],"mendeley":{"formattedCitation":"[32]","plainTextFormattedCitation":"[32]","previouslyFormattedCitation":"[32]"},"properties":{"noteIndex":0},"schema":"https://github.com/citation-style-language/schema/raw/master/csl-citation.json"}</w:instrText>
      </w:r>
      <w:r w:rsidRPr="00A1333F">
        <w:fldChar w:fldCharType="separate"/>
      </w:r>
      <w:r w:rsidR="00AC7D98" w:rsidRPr="00AC7D98">
        <w:rPr>
          <w:noProof/>
        </w:rPr>
        <w:t>[32]</w:t>
      </w:r>
      <w:r w:rsidRPr="00A1333F">
        <w:fldChar w:fldCharType="end"/>
      </w:r>
      <w:r w:rsidRPr="00A1333F">
        <w:t xml:space="preserve"> showed many positive effects for the </w:t>
      </w:r>
      <w:proofErr w:type="spellStart"/>
      <w:r w:rsidRPr="00A1333F">
        <w:t>gamified</w:t>
      </w:r>
      <w:proofErr w:type="spellEnd"/>
      <w:r w:rsidRPr="00A1333F">
        <w:t xml:space="preserve"> approach, including increased class attendance, less late arrivals to class, higher downloads of course material, better classroom dynamics, and higher final grade (61% for </w:t>
      </w:r>
      <w:proofErr w:type="spellStart"/>
      <w:r w:rsidRPr="00A1333F">
        <w:t>gamified</w:t>
      </w:r>
      <w:proofErr w:type="spellEnd"/>
      <w:r w:rsidRPr="00A1333F">
        <w:t xml:space="preserve"> vs. 53% for traditional). Another example is the quasi-experiment in which one group received traditional paper teaching, while the other received technology-supported learning using </w:t>
      </w:r>
      <w:proofErr w:type="spellStart"/>
      <w:r w:rsidRPr="00A1333F">
        <w:t>Voki</w:t>
      </w:r>
      <w:proofErr w:type="spellEnd"/>
      <w:r w:rsidRPr="00A1333F">
        <w:t xml:space="preserve">, </w:t>
      </w:r>
      <w:proofErr w:type="spellStart"/>
      <w:r w:rsidRPr="00A1333F">
        <w:t>Buncee</w:t>
      </w:r>
      <w:proofErr w:type="spellEnd"/>
      <w:r w:rsidRPr="00A1333F">
        <w:t xml:space="preserve">, </w:t>
      </w:r>
      <w:proofErr w:type="spellStart"/>
      <w:proofErr w:type="gramStart"/>
      <w:r w:rsidRPr="00A1333F">
        <w:rPr>
          <w:i/>
        </w:rPr>
        <w:t>Kahoot</w:t>
      </w:r>
      <w:proofErr w:type="spellEnd"/>
      <w:proofErr w:type="gramEnd"/>
      <w:r w:rsidRPr="00A1333F">
        <w:rPr>
          <w:i/>
        </w:rPr>
        <w:t>!</w:t>
      </w:r>
      <w:r w:rsidRPr="00A1333F">
        <w:t xml:space="preserve"> and </w:t>
      </w:r>
      <w:proofErr w:type="spellStart"/>
      <w:r w:rsidRPr="00A1333F">
        <w:t>Answergarden</w:t>
      </w:r>
      <w:proofErr w:type="spellEnd"/>
      <w:r w:rsidRPr="00A1333F">
        <w:t xml:space="preserve"> </w:t>
      </w:r>
      <w:r w:rsidRPr="00A1333F">
        <w:fldChar w:fldCharType="begin" w:fldLock="1"/>
      </w:r>
      <w:r w:rsidR="00AC7D98">
        <w:instrText>ADDIN CSL_CITATION {"citationItems":[{"id":"ITEM-1","itemData":{"DOI":"10.1016/j.sbspro.2015.07.552","ISSN":"18770428","abstract":"There is a rapid increasing interest in the need to use technology in language learning at an early age. Young learners need motivation and they can easily lose their concentration during long language learning process. Technology can be one of the ways to create real and enjoyable atmosphere for young language learners when it is used correctly and effectively. Technology lets young language learners gain language skills outside the classroom when they interact actively. Many researches claim that children can improve their language and cultural awareness by using technology in different social and cultural contexts and language awareness can be faster through intercultural communication. Technology gives this chance to young learners and offers them unlimited resources. The main purpose of this research is to examine the teacher candidates and young learners' perspectives on technology use during language learning process. This research is a qualitative study which contains two structured questionnaires with 12 language teacher candidates and 10 young learners from a state primary school. In order to analyze language teacher candidates' point of view on language awareness through technology, 6 questions were prepared for them and 6 questions were also prepared for young learners' ideas. Two structured questionnaires were examined by 2 experts in the field of language teaching. After the research application, teacher candidates mentioned that technology based games, cartoon films, blogs and some social sites for children affect young learners and increased their language and cultural awareness and young learners explained that English lessons could be easy and enjoyable when the teachers use technology outside the classroom.","author":[{"dropping-particle":"","family":"İlter","given":"Binnur Genç","non-dropping-particle":"","parse-names":false,"suffix":""}],"container-title":"Procedia - Social and Behavioral Sciences","id":"ITEM-1","issued":{"date-parts":[["2015"]]},"page":"311-316","title":"How does Technology Affect Language Learning Process at an Early Age?","type":"article-journal","volume":"199"},"uris":["http://www.mendeley.com/documents/?uuid=84418fb9-683f-4beb-b899-32280af541fc"]}],"mendeley":{"formattedCitation":"[33]","plainTextFormattedCitation":"[33]","previouslyFormattedCitation":"[33]"},"properties":{"noteIndex":0},"schema":"https://github.com/citation-style-language/schema/raw/master/csl-citation.json"}</w:instrText>
      </w:r>
      <w:r w:rsidRPr="00A1333F">
        <w:fldChar w:fldCharType="separate"/>
      </w:r>
      <w:r w:rsidR="00AC7D98" w:rsidRPr="00AC7D98">
        <w:rPr>
          <w:noProof/>
        </w:rPr>
        <w:t>[33]</w:t>
      </w:r>
      <w:r w:rsidRPr="00A1333F">
        <w:fldChar w:fldCharType="end"/>
      </w:r>
      <w:r w:rsidRPr="00A1333F">
        <w:t xml:space="preserve">. Both groups did the same on the pre-test, but the technology-supported learning group performed significantly better on the post-test (90% score) than those on paper (75% score). Several studies investigated learning outcomes using </w:t>
      </w:r>
      <w:proofErr w:type="spellStart"/>
      <w:r w:rsidRPr="00A1333F">
        <w:rPr>
          <w:i/>
        </w:rPr>
        <w:t>Kahoot</w:t>
      </w:r>
      <w:proofErr w:type="spellEnd"/>
      <w:r w:rsidRPr="00A1333F">
        <w:rPr>
          <w:i/>
        </w:rPr>
        <w:t>!</w:t>
      </w:r>
      <w:r w:rsidRPr="00A1333F">
        <w:t xml:space="preserve"> </w:t>
      </w:r>
      <w:proofErr w:type="gramStart"/>
      <w:r w:rsidRPr="00A1333F">
        <w:t>only</w:t>
      </w:r>
      <w:proofErr w:type="gramEnd"/>
      <w:r w:rsidRPr="00A1333F">
        <w:t xml:space="preserve"> for teaching. Six are in the K-12 context (Elementary School, Middle School, and Senior High School), while the rest are with students. These studies are qualitative and quantitative, in which the majority can be classified as quasi-experimental. The study covers a wide range of fields and courses including language (English and Chinese), Information Technology, Bio-Engineering, Media and Communication, Electrical Circuits, Business, Mathematics, Physics, Chemistry, </w:t>
      </w:r>
      <w:r w:rsidRPr="00A1333F">
        <w:lastRenderedPageBreak/>
        <w:t xml:space="preserve">Animal Science, Academic Writing, Educational Technology, Nursing, Vocational Training, Programming, Control Systems, and Earth Sciences. Seventy percent of studies with tests of statistical significance on learning effects show that </w:t>
      </w:r>
      <w:proofErr w:type="spellStart"/>
      <w:r w:rsidRPr="00A1333F">
        <w:rPr>
          <w:i/>
        </w:rPr>
        <w:t>Kahoot</w:t>
      </w:r>
      <w:proofErr w:type="spellEnd"/>
      <w:r w:rsidRPr="00A1333F">
        <w:rPr>
          <w:i/>
        </w:rPr>
        <w:t>!</w:t>
      </w:r>
      <w:r w:rsidRPr="00A1333F">
        <w:t xml:space="preserve"> </w:t>
      </w:r>
      <w:proofErr w:type="gramStart"/>
      <w:r w:rsidRPr="00A1333F">
        <w:t>significantly</w:t>
      </w:r>
      <w:proofErr w:type="gramEnd"/>
      <w:r w:rsidRPr="00A1333F">
        <w:t xml:space="preserve"> improves final scores or test results compared to other teaching approaches. However, there are a few exceptions. In the experiment in the Information Technology course, </w:t>
      </w:r>
      <w:proofErr w:type="spellStart"/>
      <w:r w:rsidRPr="00A1333F">
        <w:rPr>
          <w:i/>
        </w:rPr>
        <w:t>Kahoot</w:t>
      </w:r>
      <w:proofErr w:type="spellEnd"/>
      <w:r w:rsidRPr="00A1333F">
        <w:rPr>
          <w:i/>
        </w:rPr>
        <w:t>!</w:t>
      </w:r>
      <w:r w:rsidRPr="00A1333F">
        <w:t xml:space="preserve"> did not result in a significantly increased learning effect than using the paper quiz and Clicker student response system </w:t>
      </w:r>
      <w:r w:rsidR="00740188">
        <w:fldChar w:fldCharType="begin" w:fldLock="1"/>
      </w:r>
      <w:r w:rsidR="00740188">
        <w:instrText>ADDIN CSL_CITATION {"citationItems":[{"id":"ITEM-1","itemData":{"DOI":"10.1021/acs.jchemed.0c00348","ISSN":"19381328","abstract":"Novel assessment tools are more often used in class especially after the Bologna Process (Pereira, D.; Flores, M. A.; Niklasson, I. Assess. Eval. Higher Educ. 2016, 41, (7), 1008-1032, DOI: 10.1080/02602938.2015.1055233) in Europe. Kahoot has emerged as an attractive and interactive gaming platform, and considerable education-research efforts in different kinds of subjects have been recently invested to evaluate Kahoot suitability for learning. One of the main ways of utilizing Kahoot is as an assessment tool, which has been shown to be effective in various education fields, but not yet in chemistry. Herein Kahoot was used for assessment in a whole-year chemistry class together with other more traditional means, such as solving problem sets or difficult questions. Surprisingly, students' esteem for Kahoot was the same or even less than for other means of assessment. Instead, problem solving was considered the most valuable task for the class. These results might be due to the nature of chemistry learning; although memorization is required, chemistry education places a higher weight on reasoning skills, which may cause the students to prefer training methods other than Kahoot. According to these results, the competitive incentive and playfulness of a game is less preferred than the intrinsic challenge of solving a difficult question or problem.","author":[{"dropping-particle":"","family":"Murciano-Calles","given":"Javier","non-dropping-particle":"","parse-names":false,"suffix":""}],"container-title":"Journal of Chemical Education","id":"ITEM-1","issue":"11","issued":{"date-parts":[["2020"]]},"page":"4209-4213","title":"Use of Kahoot for Assessment in Chemistry Education: A Comparative Study","type":"article-journal","volume":"97"},"uris":["http://www.mendeley.com/documents/?uuid=37615a12-d986-43b3-81f4-987969dbe54c"]}],"mendeley":{"formattedCitation":"[34]","plainTextFormattedCitation":"[34]","previouslyFormattedCitation":"[34]"},"properties":{"noteIndex":0},"schema":"https://github.com/citation-style-language/schema/raw/master/csl-citation.json"}</w:instrText>
      </w:r>
      <w:r w:rsidR="00740188">
        <w:fldChar w:fldCharType="separate"/>
      </w:r>
      <w:r w:rsidR="00740188" w:rsidRPr="00740188">
        <w:rPr>
          <w:noProof/>
        </w:rPr>
        <w:t>[34]</w:t>
      </w:r>
      <w:r w:rsidR="00740188">
        <w:fldChar w:fldCharType="end"/>
      </w:r>
      <w:r w:rsidRPr="00A1333F">
        <w:t xml:space="preserve">. Similar results were found in a quasi-experiment comparing </w:t>
      </w:r>
      <w:proofErr w:type="spellStart"/>
      <w:r w:rsidRPr="00A1333F">
        <w:rPr>
          <w:i/>
        </w:rPr>
        <w:t>Kahoot</w:t>
      </w:r>
      <w:proofErr w:type="spellEnd"/>
      <w:r w:rsidRPr="00A1333F">
        <w:rPr>
          <w:i/>
        </w:rPr>
        <w:t>!</w:t>
      </w:r>
      <w:r w:rsidRPr="00A1333F">
        <w:t xml:space="preserve"> </w:t>
      </w:r>
      <w:proofErr w:type="gramStart"/>
      <w:r w:rsidRPr="00A1333F">
        <w:t>and</w:t>
      </w:r>
      <w:proofErr w:type="gramEnd"/>
      <w:r w:rsidRPr="00A1333F">
        <w:t xml:space="preserve"> Survey Monkey in an experiment comparing PowerPoint and </w:t>
      </w:r>
      <w:proofErr w:type="spellStart"/>
      <w:r w:rsidRPr="00A1333F">
        <w:rPr>
          <w:i/>
        </w:rPr>
        <w:t>Kahoot</w:t>
      </w:r>
      <w:proofErr w:type="spellEnd"/>
      <w:r w:rsidRPr="00A1333F">
        <w:rPr>
          <w:i/>
        </w:rPr>
        <w:t>!</w:t>
      </w:r>
      <w:r w:rsidRPr="00A1333F">
        <w:t xml:space="preserve"> </w:t>
      </w:r>
      <w:r w:rsidR="009E3232">
        <w:fldChar w:fldCharType="begin" w:fldLock="1"/>
      </w:r>
      <w:r w:rsidR="00740188">
        <w:instrText>ADDIN CSL_CITATION {"citationItems":[{"id":"ITEM-1","itemData":{"DOI":"10.1007/978-3-319-73204-6_17","ISBN":"9783319732039","ISSN":"21945357","abstract":"In the age of dynamic development of information and communication technologies, students get bored quickly and easily lose their interest and motivation for learning when the taught material gets presented in the traditional ways. The purpose of the following study is to determine the level of impact of gamification on the process of studying Mathematics, and on the emotional condition of students with certain motivation and learning styles. The results of the study show that the evaluation and implementation of the gamification, achieved with the usage of Kahoot! in the process of studying Mathematics, do not affect the academic achievements of students with low intrinsic motivation in terms of studying mathematics, however, positively affect their emotional state, stimulate their interest and promote active learning.","author":[{"dropping-particle":"","family":"Stoyanova","given":"Maya","non-dropping-particle":"","parse-names":false,"suffix":""},{"dropping-particle":"","family":"Tuparova","given":"Daniela","non-dropping-particle":"","parse-names":false,"suffix":""},{"dropping-particle":"","family":"Samardzhiev","given":"Kostadin","non-dropping-particle":"","parse-names":false,"suffix":""}],"container-title":"Advances in Intelligent Systems and Computing","id":"ITEM-1","issued":{"date-parts":[["2018"]]},"page":"133-142","title":"Impact of motivation, gamification and learning style on students’ interest in maths classes – a study in 11 high school grade","type":"article-journal","volume":"716"},"uris":["http://www.mendeley.com/documents/?uuid=d0e1f0ef-9231-4c5f-bcff-81d66f2d4b55"]}],"mendeley":{"formattedCitation":"[35]","plainTextFormattedCitation":"[35]","previouslyFormattedCitation":"[35]"},"properties":{"noteIndex":0},"schema":"https://github.com/citation-style-language/schema/raw/master/csl-citation.json"}</w:instrText>
      </w:r>
      <w:r w:rsidR="009E3232">
        <w:fldChar w:fldCharType="separate"/>
      </w:r>
      <w:r w:rsidR="00740188" w:rsidRPr="00740188">
        <w:rPr>
          <w:noProof/>
        </w:rPr>
        <w:t>[35]</w:t>
      </w:r>
      <w:r w:rsidR="009E3232">
        <w:fldChar w:fldCharType="end"/>
      </w:r>
      <w:r w:rsidRPr="00A1333F">
        <w:t xml:space="preserve">, </w:t>
      </w:r>
      <w:proofErr w:type="gramStart"/>
      <w:r w:rsidRPr="00A1333F">
        <w:t>A</w:t>
      </w:r>
      <w:proofErr w:type="gramEnd"/>
      <w:r w:rsidRPr="00A1333F">
        <w:t xml:space="preserve"> quasi-experiment in High School investigates the </w:t>
      </w:r>
      <w:proofErr w:type="spellStart"/>
      <w:r w:rsidRPr="00A1333F">
        <w:rPr>
          <w:i/>
        </w:rPr>
        <w:t>Kahoot</w:t>
      </w:r>
      <w:proofErr w:type="spellEnd"/>
      <w:r w:rsidRPr="00A1333F">
        <w:rPr>
          <w:i/>
        </w:rPr>
        <w:t>!</w:t>
      </w:r>
      <w:r w:rsidRPr="00A1333F">
        <w:t xml:space="preserve"> vs. traditional teaching </w:t>
      </w:r>
      <w:r w:rsidR="00982448">
        <w:fldChar w:fldCharType="begin" w:fldLock="1"/>
      </w:r>
      <w:r w:rsidR="00740188">
        <w:instrText>ADDIN CSL_CITATION {"citationItems":[{"id":"ITEM-1","itemData":{"DOI":"10.1016/j.chb.2018.11.034","ISBN":"8862239394","ISSN":"07475632","abstract":"This study investigated the effects of implementing an online instant response system “Kahoot!” in an Earth Science class in a rural area of Taiwan. The study adopted the mixed-methods approach, based primarily on a quasi-experimental approach, to investigate the effects. The participants were randomly grouped into two classes, with Kahoot! as the intervention. The seventh-grade junior high school students were instructed by the same teacher. The research questions were whether the mobile technology impacted students’ learning motivation and achievement and how the learning processes proceeded. Data were collected through surveys, student assignments, exams, learning journals, and interviews. The results indicated that the implementation of “Kahoot!” can enhance these rural-area students’ learning motivation, gain the rural-area students’ attention, and create incentives for the students to preview and review learning materials promoting learning efficiency. Moreover, the integration enhanced learning achievement. On the other hand, the teachable moments Kahoot! created may not be sustainable. It is hoped that the research findings can provide teachers with implications and guidelines to successfully integrate mobile technologies to enhance learning in their classrooms.","author":[{"dropping-particle":"","family":"Lee","given":"Chao Chang","non-dropping-particle":"","parse-names":false,"suffix":""},{"dropping-particle":"","family":"Hao","given":"Yungwei","non-dropping-particle":"","parse-names":false,"suffix":""},{"dropping-particle":"","family":"Lee","given":"Kathryn S.","non-dropping-particle":"","parse-names":false,"suffix":""},{"dropping-particle":"","family":"Sim","given":"Sin Chie","non-dropping-particle":"","parse-names":false,"suffix":""},{"dropping-particle":"","family":"Huang","given":"Chun Chiang","non-dropping-particle":"","parse-names":false,"suffix":""}],"container-title":"Computers in Human Behavior","id":"ITEM-1","issued":{"date-parts":[["2019"]]},"number-of-pages":"217-223","publisher":"Elsevier B.V.","title":"Investigation of the effects of an online instant response system on students in a middle school of a rural area","type":"book","volume":"95"},"uris":["http://www.mendeley.com/documents/?uuid=bfced9ec-86d2-46a4-a9fe-73aa0260d8a7"]}],"mendeley":{"formattedCitation":"[36]","plainTextFormattedCitation":"[36]","previouslyFormattedCitation":"[36]"},"properties":{"noteIndex":0},"schema":"https://github.com/citation-style-language/schema/raw/master/csl-citation.json"}</w:instrText>
      </w:r>
      <w:r w:rsidR="00982448">
        <w:fldChar w:fldCharType="separate"/>
      </w:r>
      <w:r w:rsidR="00740188" w:rsidRPr="00740188">
        <w:rPr>
          <w:noProof/>
        </w:rPr>
        <w:t>[36]</w:t>
      </w:r>
      <w:r w:rsidR="00982448">
        <w:fldChar w:fldCharType="end"/>
      </w:r>
      <w:r w:rsidRPr="00A1333F">
        <w:t xml:space="preserve">, and in experiments comparing traditional teaching with </w:t>
      </w:r>
      <w:proofErr w:type="spellStart"/>
      <w:r w:rsidRPr="00A1333F">
        <w:t>Quizizz</w:t>
      </w:r>
      <w:proofErr w:type="spellEnd"/>
      <w:r w:rsidRPr="00A1333F">
        <w:t xml:space="preserve"> and </w:t>
      </w:r>
      <w:proofErr w:type="spellStart"/>
      <w:r w:rsidRPr="00A1333F">
        <w:rPr>
          <w:i/>
        </w:rPr>
        <w:t>Kahoot</w:t>
      </w:r>
      <w:proofErr w:type="spellEnd"/>
      <w:r w:rsidRPr="00A1333F">
        <w:rPr>
          <w:i/>
        </w:rPr>
        <w:t>!</w:t>
      </w:r>
      <w:r w:rsidR="00CB35E1">
        <w:t xml:space="preserve"> (three experimental groups)</w:t>
      </w:r>
      <w:r w:rsidR="00740188">
        <w:t xml:space="preserve"> </w:t>
      </w:r>
      <w:r w:rsidR="00740188">
        <w:fldChar w:fldCharType="begin" w:fldLock="1"/>
      </w:r>
      <w:r w:rsidR="00740188">
        <w:instrText>ADDIN CSL_CITATION {"citationItems":[{"id":"ITEM-1","itemData":{"DOI":"10.3390/educsci9010055","ISSN":"22277102","abstract":"One of the main objectives in education is to increase the motivation of the students to achieve meaningful learning. The use of technologies in classrooms which students are familiarized with such as the smartphone or the tablet, is a way to achieve this goal. On the other hand, it has been proven that the inclusion of scenarios supported by games and competition enhance the active participation of students. Therefore, in this work we present the results of a study based on of the application Kahoot with students of secondary education, in the subjects of mathematics, biology &amp; geology and physics &amp; chemistry, during the academic year 2017/2018. This tool allows students to answer to on-line questionnaires created by the teacher, through mobile devices, and check their results in a few seconds as well as those of their classmates. The results obtained on the assessment of the tool by students, in terms of the benefits in the learning process, have been very positive and help us to examine the potential of the use of on-line questionnaires in the classrooms.","author":[{"dropping-particle":"","family":"Prieto","given":"Marta Curto","non-dropping-particle":"","parse-names":false,"suffix":""},{"dropping-particle":"","family":"Palma","given":"Lara Orcos","non-dropping-particle":"","parse-names":false,"suffix":""},{"dropping-particle":"","family":"Tobías","given":"Pedro Jesús Blázquez","non-dropping-particle":"","parse-names":false,"suffix":""},{"dropping-particle":"","family":"León","given":"Francisco Javier Molina","non-dropping-particle":"","parse-names":false,"suffix":""}],"container-title":"Education Sciences","id":"ITEM-1","issue":"1","issued":{"date-parts":[["2019"]]},"title":"Student assessment of the use of kahoot in the learning process of science and mathematics","type":"article-journal","volume":"9"},"uris":["http://www.mendeley.com/documents/?uuid=3fe50602-6b8b-4187-a7da-dba903214873"]}],"mendeley":{"formattedCitation":"[37]","plainTextFormattedCitation":"[37]","previouslyFormattedCitation":"[37]"},"properties":{"noteIndex":0},"schema":"https://github.com/citation-style-language/schema/raw/master/csl-citation.json"}</w:instrText>
      </w:r>
      <w:r w:rsidR="00740188">
        <w:fldChar w:fldCharType="separate"/>
      </w:r>
      <w:r w:rsidR="00740188" w:rsidRPr="00740188">
        <w:rPr>
          <w:noProof/>
        </w:rPr>
        <w:t>[37]</w:t>
      </w:r>
      <w:r w:rsidR="00740188">
        <w:fldChar w:fldCharType="end"/>
      </w:r>
      <w:r w:rsidRPr="00A1333F">
        <w:t xml:space="preserve">. In a study where </w:t>
      </w:r>
      <w:proofErr w:type="spellStart"/>
      <w:r w:rsidRPr="00A1333F">
        <w:rPr>
          <w:i/>
        </w:rPr>
        <w:t>Kahoot</w:t>
      </w:r>
      <w:proofErr w:type="spellEnd"/>
      <w:r w:rsidRPr="00A1333F">
        <w:rPr>
          <w:i/>
        </w:rPr>
        <w:t>!</w:t>
      </w:r>
      <w:r w:rsidRPr="00A1333F">
        <w:t xml:space="preserve"> </w:t>
      </w:r>
      <w:proofErr w:type="gramStart"/>
      <w:r w:rsidRPr="00A1333F">
        <w:t>was</w:t>
      </w:r>
      <w:proofErr w:type="gramEnd"/>
      <w:r w:rsidRPr="00A1333F">
        <w:t xml:space="preserve"> used to teach Mandarin, using </w:t>
      </w:r>
      <w:proofErr w:type="spellStart"/>
      <w:r w:rsidRPr="00A1333F">
        <w:rPr>
          <w:i/>
        </w:rPr>
        <w:t>Kahoot</w:t>
      </w:r>
      <w:proofErr w:type="spellEnd"/>
      <w:r w:rsidRPr="00A1333F">
        <w:rPr>
          <w:i/>
        </w:rPr>
        <w:t>!</w:t>
      </w:r>
      <w:r w:rsidRPr="00A1333F">
        <w:t xml:space="preserve"> had a significant increase in reading and speaking competence, but not listening or vocabulary </w:t>
      </w:r>
      <w:r w:rsidR="00C82625">
        <w:fldChar w:fldCharType="begin" w:fldLock="1"/>
      </w:r>
      <w:r w:rsidR="00740188">
        <w:instrText>ADDIN CSL_CITATION {"citationItems":[{"id":"ITEM-1","itemData":{"DOI":"10.1080/23247797.2021.1913832","ISSN":"23247800","abstract":"In recent years, the use of Student Response System (SRS) technology in higher education settings has gained popularity as research demonstrates its effectiveness in achieving desired outcomes, especially when paired with peer interaction. This article explores students’ perceptions of integrating the Game-based Student Response System (GSRS) Kahoot! in two Spanish flipped classrooms, supported by the Peer Instruction (PI) technique, at a university in Singapore. Adopting an action research approach, quantitative and qualitative data from 32 undergraduates were gathered through a questionnaire. The findings revealed that students perceived the use of Kahoot! to be beneficial in terms of: (1) increasing engagement and motivation to learn; (2) improving the understanding of concepts; and (3) contributing to a positive learning environment. Moreover, students found that PI, in particular, contributed to deepening their grammatical and pragmatic knowledge of Spanish. Implications that may be useful to language teachers are also presented.","author":[{"dropping-particle":"","family":"Ruiz","given":"Cristina González","non-dropping-particle":"","parse-names":false,"suffix":""}],"container-title":"Journal of Spanish Language Teaching","id":"ITEM-1","issue":"1","issued":{"date-parts":[["2021"]]},"page":"63-78","publisher":"Taylor &amp; Francis","title":"The effect of integrating Kahoot! and peer instruction in the Spanish flipped classroom: the student perspective","type":"article-journal","volume":"8"},"uris":["http://www.mendeley.com/documents/?uuid=4b5019f8-d5d1-4fee-b82e-a806d9027156"]}],"mendeley":{"formattedCitation":"[38]","plainTextFormattedCitation":"[38]","previouslyFormattedCitation":"[38]"},"properties":{"noteIndex":0},"schema":"https://github.com/citation-style-language/schema/raw/master/csl-citation.json"}</w:instrText>
      </w:r>
      <w:r w:rsidR="00C82625">
        <w:fldChar w:fldCharType="separate"/>
      </w:r>
      <w:r w:rsidR="00740188" w:rsidRPr="00740188">
        <w:rPr>
          <w:noProof/>
        </w:rPr>
        <w:t>[38]</w:t>
      </w:r>
      <w:r w:rsidR="00C82625">
        <w:fldChar w:fldCharType="end"/>
      </w:r>
      <w:r w:rsidRPr="00A1333F">
        <w:t xml:space="preserve">. Another experimental study showed a statistically significant increase in learning using </w:t>
      </w:r>
      <w:proofErr w:type="spellStart"/>
      <w:r w:rsidRPr="00A1333F">
        <w:rPr>
          <w:i/>
        </w:rPr>
        <w:t>Kahoot</w:t>
      </w:r>
      <w:proofErr w:type="spellEnd"/>
      <w:r w:rsidRPr="00A1333F">
        <w:rPr>
          <w:i/>
        </w:rPr>
        <w:t>!</w:t>
      </w:r>
      <w:r w:rsidRPr="00A1333F">
        <w:t xml:space="preserve"> </w:t>
      </w:r>
      <w:proofErr w:type="gramStart"/>
      <w:r w:rsidRPr="00A1333F">
        <w:t>in</w:t>
      </w:r>
      <w:proofErr w:type="gramEnd"/>
      <w:r w:rsidRPr="00A1333F">
        <w:t xml:space="preserve"> classroom teaching. These three studies focus on how to use </w:t>
      </w:r>
      <w:proofErr w:type="spellStart"/>
      <w:r w:rsidRPr="00A1333F">
        <w:rPr>
          <w:i/>
        </w:rPr>
        <w:t>Kahoot</w:t>
      </w:r>
      <w:proofErr w:type="spellEnd"/>
      <w:r w:rsidRPr="00A1333F">
        <w:rPr>
          <w:i/>
        </w:rPr>
        <w:t>!</w:t>
      </w:r>
      <w:r w:rsidRPr="00A1333F">
        <w:t xml:space="preserve"> </w:t>
      </w:r>
      <w:proofErr w:type="gramStart"/>
      <w:r w:rsidRPr="00A1333F">
        <w:t>in</w:t>
      </w:r>
      <w:proofErr w:type="gramEnd"/>
      <w:r w:rsidRPr="00A1333F">
        <w:t xml:space="preserve"> the flipped classroom to enhance learning. A post-test in a quasi-experiment in Taiwan with 44 students in an English course showed that the experimental group used </w:t>
      </w:r>
      <w:proofErr w:type="spellStart"/>
      <w:r w:rsidRPr="00A1333F">
        <w:rPr>
          <w:i/>
        </w:rPr>
        <w:t>Kahoot</w:t>
      </w:r>
      <w:proofErr w:type="spellEnd"/>
      <w:r w:rsidRPr="00A1333F">
        <w:rPr>
          <w:i/>
        </w:rPr>
        <w:t>!</w:t>
      </w:r>
      <w:r w:rsidRPr="00A1333F">
        <w:t xml:space="preserve"> </w:t>
      </w:r>
      <w:proofErr w:type="gramStart"/>
      <w:r w:rsidRPr="00A1333F">
        <w:t>had</w:t>
      </w:r>
      <w:proofErr w:type="gramEnd"/>
      <w:r w:rsidRPr="00A1333F">
        <w:t xml:space="preserve"> a mean score of 86.18 compared to 77.45 for the control group who was not using the </w:t>
      </w:r>
      <w:proofErr w:type="spellStart"/>
      <w:r w:rsidRPr="00A1333F">
        <w:rPr>
          <w:i/>
        </w:rPr>
        <w:t>Kahoot</w:t>
      </w:r>
      <w:proofErr w:type="spellEnd"/>
      <w:r w:rsidRPr="00A1333F">
        <w:rPr>
          <w:i/>
        </w:rPr>
        <w:t>!</w:t>
      </w:r>
      <w:r w:rsidR="00A20935">
        <w:t xml:space="preserve"> (p = .007, high effect size) </w:t>
      </w:r>
      <w:r w:rsidR="00A20935">
        <w:fldChar w:fldCharType="begin" w:fldLock="1"/>
      </w:r>
      <w:r w:rsidR="00740188">
        <w:instrText>ADDIN CSL_CITATION {"citationItems":[{"id":"ITEM-1","itemData":{"DOI":"10.1080/10494820.2016.1240090","ISSN":"17445191","abstract":"Flipped classrooms continue to grow in popularity across all levels of education. Following this pedagogical trend, the present study aimed to enhance the face-to-face instruction in flipped classrooms with the use of clickers. A game-like clicker application was implemented through a bring your own device (BYOD) model to gamify classroom dynamics in the spirit of question-and-answer competitions. A series of flipped learning lessons were created for the study, with clickers integrated into question-and-answer activities associated with each of the lessons as formative assessments to assist students in the learning of English as a foreign language. In this quasi-experimental research, the data were gathered using a summative assessment, a perception survey, and individual interviews. The collected data were then analyzed to compare the students’ flipped learning experiences, with or without clicker use. The results indicated that the gamified use of clickers had positive influences on student learning, with regard to their performance, perceptions, and preferences. This study thus suggests that the emerging generation of clicker technology allows for a cost-effective BYOD integration model in flipped classrooms, through which it is possible to seamlessly bridge pre-class and in-class activities and to effectively promote student learning.","author":[{"dropping-particle":"","family":"Hung","given":"Hsiu Ting","non-dropping-particle":"","parse-names":false,"suffix":""}],"container-title":"Interactive Learning Environments","id":"ITEM-1","issue":"8","issued":{"date-parts":[["2017"]]},"page":"983-995","publisher":"Taylor &amp; Francis","title":"Clickers in the flipped classroom: bring your own device (BYOD) to promote student learning","type":"article-journal","volume":"25"},"uris":["http://www.mendeley.com/documents/?uuid=c3b4deca-afa7-4c94-ab14-d23a9eb2bb31"]}],"mendeley":{"formattedCitation":"[39]","plainTextFormattedCitation":"[39]","previouslyFormattedCitation":"[39]"},"properties":{"noteIndex":0},"schema":"https://github.com/citation-style-language/schema/raw/master/csl-citation.json"}</w:instrText>
      </w:r>
      <w:r w:rsidR="00A20935">
        <w:fldChar w:fldCharType="separate"/>
      </w:r>
      <w:r w:rsidR="00740188" w:rsidRPr="00740188">
        <w:rPr>
          <w:noProof/>
        </w:rPr>
        <w:t>[39]</w:t>
      </w:r>
      <w:r w:rsidR="00A20935">
        <w:fldChar w:fldCharType="end"/>
      </w:r>
      <w:r w:rsidRPr="00A1333F">
        <w:t xml:space="preserve">. Likewise, another quasi-experiment about using </w:t>
      </w:r>
      <w:proofErr w:type="spellStart"/>
      <w:r w:rsidRPr="00A1333F">
        <w:rPr>
          <w:i/>
        </w:rPr>
        <w:t>Kahoot</w:t>
      </w:r>
      <w:proofErr w:type="spellEnd"/>
      <w:r w:rsidRPr="00A1333F">
        <w:rPr>
          <w:i/>
        </w:rPr>
        <w:t>!</w:t>
      </w:r>
      <w:r w:rsidRPr="00A1333F">
        <w:t xml:space="preserve"> </w:t>
      </w:r>
      <w:proofErr w:type="gramStart"/>
      <w:r w:rsidRPr="00A1333F">
        <w:t>in</w:t>
      </w:r>
      <w:proofErr w:type="gramEnd"/>
      <w:r w:rsidRPr="00A1333F">
        <w:t xml:space="preserve"> a flipped classroom shows that </w:t>
      </w:r>
      <w:proofErr w:type="spellStart"/>
      <w:r w:rsidRPr="00A1333F">
        <w:rPr>
          <w:i/>
        </w:rPr>
        <w:t>Kahoot</w:t>
      </w:r>
      <w:proofErr w:type="spellEnd"/>
      <w:r w:rsidRPr="00A1333F">
        <w:rPr>
          <w:i/>
        </w:rPr>
        <w:t>!</w:t>
      </w:r>
      <w:r w:rsidRPr="00A1333F">
        <w:t xml:space="preserve"> uses give significant improvement in speaking skills (p = .010, high effect) </w:t>
      </w:r>
      <w:r w:rsidR="00864A48">
        <w:fldChar w:fldCharType="begin" w:fldLock="1"/>
      </w:r>
      <w:r w:rsidR="00740188">
        <w:instrText>ADDIN CSL_CITATION {"citationItems":[{"id":"ITEM-1","itemData":{"DOI":"10.1080/10494820.2016.1240090","ISSN":"17445191","abstract":"Flipped classrooms continue to grow in popularity across all levels of education. Following this pedagogical trend, the present study aimed to enhance the face-to-face instruction in flipped classrooms with the use of clickers. A game-like clicker application was implemented through a bring your own device (BYOD) model to gamify classroom dynamics in the spirit of question-and-answer competitions. A series of flipped learning lessons were created for the study, with clickers integrated into question-and-answer activities associated with each of the lessons as formative assessments to assist students in the learning of English as a foreign language. In this quasi-experimental research, the data were gathered using a summative assessment, a perception survey, and individual interviews. The collected data were then analyzed to compare the students’ flipped learning experiences, with or without clicker use. The results indicated that the gamified use of clickers had positive influences on student learning, with regard to their performance, perceptions, and preferences. This study thus suggests that the emerging generation of clicker technology allows for a cost-effective BYOD integration model in flipped classrooms, through which it is possible to seamlessly bridge pre-class and in-class activities and to effectively promote student learning.","author":[{"dropping-particle":"","family":"Hung","given":"Hsiu Ting","non-dropping-particle":"","parse-names":false,"suffix":""}],"container-title":"Interactive Learning Environments","id":"ITEM-1","issue":"8","issued":{"date-parts":[["2017"]]},"page":"983-995","publisher":"Taylor &amp; Francis","title":"Clickers in the flipped classroom: bring your own device (BYOD) to promote student learning","type":"article-journal","volume":"25"},"uris":["http://www.mendeley.com/documents/?uuid=c3b4deca-afa7-4c94-ab14-d23a9eb2bb31"]}],"mendeley":{"formattedCitation":"[39]","plainTextFormattedCitation":"[39]","previouslyFormattedCitation":"[39]"},"properties":{"noteIndex":0},"schema":"https://github.com/citation-style-language/schema/raw/master/csl-citation.json"}</w:instrText>
      </w:r>
      <w:r w:rsidR="00864A48">
        <w:fldChar w:fldCharType="separate"/>
      </w:r>
      <w:r w:rsidR="00740188" w:rsidRPr="00740188">
        <w:rPr>
          <w:noProof/>
        </w:rPr>
        <w:t>[39]</w:t>
      </w:r>
      <w:r w:rsidR="00864A48">
        <w:fldChar w:fldCharType="end"/>
      </w:r>
      <w:r w:rsidRPr="00A1333F">
        <w:t xml:space="preserve">. An Austrian study of a C programming course in which 60 students participated showed that grades increased by 12% after using </w:t>
      </w:r>
      <w:proofErr w:type="spellStart"/>
      <w:r w:rsidRPr="00A1333F">
        <w:rPr>
          <w:i/>
        </w:rPr>
        <w:t>Kahoot</w:t>
      </w:r>
      <w:proofErr w:type="spellEnd"/>
      <w:r w:rsidRPr="00A1333F">
        <w:rPr>
          <w:i/>
        </w:rPr>
        <w:t>!</w:t>
      </w:r>
      <w:r w:rsidRPr="00A1333F">
        <w:t xml:space="preserve"> in the context of an flipped classroom  </w:t>
      </w:r>
      <w:r w:rsidRPr="00A1333F">
        <w:fldChar w:fldCharType="begin" w:fldLock="1"/>
      </w:r>
      <w:r w:rsidR="00740188">
        <w:instrText>ADDIN CSL_CITATION {"citationItems":[{"id":"ITEM-1","itemData":{"ISSN":"10553096","abstract":"The flipped classroom has been gaining popularity in recent years. In theory, flipping the classroom appears sound: passive learning activities such as unidirectional lectures are pushed to outside class hours in the form of videos, and precious class time is spent on active learning activities. Yet the courses for information systems (IS) undergraduates at the university that the author is teaching at are still conducted in the traditional lecture-in-class, homework-after-class style. In order to increase students' engagement with the course content and to improve their experience with the course, the author implemented a trial of the flipped classroom model for a programming course with pair programming as the predominant in-class active learning activity. Student feedback on this pedagogy was generally very positive with many respondents considering it effective and helpful for learning. One of the biggest advantages mentioned by students is that they had the option to watch each video lecture as many times as required to be prepared for class. The author also observed that students were more engaged and empowered to take on more ownership for their learning. He recommends that other instructors consider rolling out their own trials of the flipped classroom incrementally for courses that would benefit the most from this pedagogy.","author":[{"dropping-particle":"","family":"Mok","given":"Heng Ngee","non-dropping-particle":"","parse-names":false,"suffix":""}],"container-title":"Journal of Information Systems Education","id":"ITEM-1","issue":"1","issued":{"date-parts":[["2014"]]},"page":"7-11","title":"Teaching tip: The flipped classroom","type":"article-journal","volume":"25"},"uris":["http://www.mendeley.com/documents/?uuid=404891a8-a9a0-452b-9156-2e37170e66ad"]}],"mendeley":{"formattedCitation":"[40]","plainTextFormattedCitation":"[40]","previouslyFormattedCitation":"[40]"},"properties":{"noteIndex":0},"schema":"https://github.com/citation-style-language/schema/raw/master/csl-citation.json"}</w:instrText>
      </w:r>
      <w:r w:rsidRPr="00A1333F">
        <w:fldChar w:fldCharType="separate"/>
      </w:r>
      <w:r w:rsidR="00740188" w:rsidRPr="00740188">
        <w:rPr>
          <w:noProof/>
        </w:rPr>
        <w:t>[40]</w:t>
      </w:r>
      <w:r w:rsidRPr="00A1333F">
        <w:fldChar w:fldCharType="end"/>
      </w:r>
      <w:r w:rsidRPr="00A1333F">
        <w:t xml:space="preserve">. Quasi-experiment with 400 students in an Education technology course at the University of Florence was compared to traditional game-based teaching using </w:t>
      </w:r>
      <w:proofErr w:type="spellStart"/>
      <w:r w:rsidRPr="00A1333F">
        <w:rPr>
          <w:i/>
        </w:rPr>
        <w:t>Kahoot</w:t>
      </w:r>
      <w:proofErr w:type="spellEnd"/>
      <w:r w:rsidRPr="00A1333F">
        <w:rPr>
          <w:i/>
        </w:rPr>
        <w:t>!</w:t>
      </w:r>
      <w:r w:rsidRPr="00A1333F">
        <w:t xml:space="preserve"> </w:t>
      </w:r>
      <w:proofErr w:type="gramStart"/>
      <w:r w:rsidRPr="00A1333F">
        <w:t>through</w:t>
      </w:r>
      <w:proofErr w:type="gramEnd"/>
      <w:r w:rsidRPr="00A1333F">
        <w:t xml:space="preserve"> pre- and post-tests on theoretical and practical topics. The results showed that the use of </w:t>
      </w:r>
      <w:proofErr w:type="spellStart"/>
      <w:r w:rsidRPr="00A1333F">
        <w:rPr>
          <w:i/>
        </w:rPr>
        <w:t>Kahoot</w:t>
      </w:r>
      <w:proofErr w:type="spellEnd"/>
      <w:r w:rsidRPr="00A1333F">
        <w:rPr>
          <w:i/>
        </w:rPr>
        <w:t>!</w:t>
      </w:r>
      <w:r w:rsidRPr="00A1333F">
        <w:t xml:space="preserve"> </w:t>
      </w:r>
      <w:proofErr w:type="gramStart"/>
      <w:r w:rsidRPr="00A1333F">
        <w:t>had</w:t>
      </w:r>
      <w:proofErr w:type="gramEnd"/>
      <w:r w:rsidRPr="00A1333F">
        <w:t xml:space="preserve"> a significant increase from pre-to-test for all topics (p = .001, high effect), but if it is compared to the traditional approach, </w:t>
      </w:r>
      <w:proofErr w:type="spellStart"/>
      <w:r w:rsidRPr="00A1333F">
        <w:rPr>
          <w:i/>
        </w:rPr>
        <w:t>Kahoot</w:t>
      </w:r>
      <w:proofErr w:type="spellEnd"/>
      <w:r w:rsidRPr="00A1333F">
        <w:rPr>
          <w:i/>
        </w:rPr>
        <w:t>!</w:t>
      </w:r>
      <w:r w:rsidRPr="00A1333F">
        <w:t xml:space="preserve"> </w:t>
      </w:r>
      <w:proofErr w:type="gramStart"/>
      <w:r w:rsidRPr="00A1333F">
        <w:t>group</w:t>
      </w:r>
      <w:proofErr w:type="gramEnd"/>
      <w:r w:rsidRPr="00A1333F">
        <w:t>, only performed significantly better on theoretical topics (p = .0001, small effect size) and not on more practical topics.</w:t>
      </w:r>
    </w:p>
    <w:p w14:paraId="1565451B" w14:textId="09460D86" w:rsidR="00D60F03" w:rsidRPr="00A1333F" w:rsidRDefault="00D60F03" w:rsidP="00A1333F">
      <w:pPr>
        <w:ind w:right="-1" w:firstLine="709"/>
        <w:jc w:val="both"/>
        <w:rPr>
          <w:b/>
        </w:rPr>
      </w:pPr>
      <w:r w:rsidRPr="00A1333F">
        <w:t xml:space="preserve">Another experiment with 96 students at Purdue University in the United States where </w:t>
      </w:r>
      <w:proofErr w:type="spellStart"/>
      <w:r w:rsidRPr="00A1333F">
        <w:rPr>
          <w:i/>
        </w:rPr>
        <w:t>Kahoot</w:t>
      </w:r>
      <w:proofErr w:type="spellEnd"/>
      <w:r w:rsidRPr="00A1333F">
        <w:rPr>
          <w:i/>
        </w:rPr>
        <w:t>!</w:t>
      </w:r>
      <w:r w:rsidRPr="00A1333F">
        <w:t xml:space="preserve"> </w:t>
      </w:r>
      <w:proofErr w:type="gramStart"/>
      <w:r w:rsidRPr="00A1333F">
        <w:t>was</w:t>
      </w:r>
      <w:proofErr w:type="gramEnd"/>
      <w:r w:rsidRPr="00A1333F">
        <w:t xml:space="preserve"> used for seven weeks. The finding showed that the experimental group performed significantly better on the final exam (79.56 for the experimental group vs. 56.83 for the control group) (p &lt;.0001, the effect size is high). Likewise, the quasi-experimental results with 67 Greek university students studying electric circuits showed that the experimental group scored 59.93% vs. 51.72% for the control group (p = .001). A quasi-experiment among 98 nursing students at La Salle University examined how to include four 20-minute </w:t>
      </w:r>
      <w:proofErr w:type="spellStart"/>
      <w:r w:rsidRPr="00A1333F">
        <w:rPr>
          <w:i/>
        </w:rPr>
        <w:t>Kahoot</w:t>
      </w:r>
      <w:proofErr w:type="spellEnd"/>
      <w:r w:rsidRPr="00A1333F">
        <w:rPr>
          <w:i/>
        </w:rPr>
        <w:t>!</w:t>
      </w:r>
      <w:r w:rsidRPr="00A1333F">
        <w:t xml:space="preserve"> </w:t>
      </w:r>
      <w:proofErr w:type="gramStart"/>
      <w:r w:rsidRPr="00A1333F">
        <w:t>sessions</w:t>
      </w:r>
      <w:proofErr w:type="gramEnd"/>
      <w:r w:rsidRPr="00A1333F">
        <w:t xml:space="preserve"> will affect the final exam scores. The results showed that including this </w:t>
      </w:r>
      <w:proofErr w:type="spellStart"/>
      <w:r w:rsidRPr="00A1333F">
        <w:rPr>
          <w:i/>
        </w:rPr>
        <w:t>Kahoot</w:t>
      </w:r>
      <w:proofErr w:type="spellEnd"/>
      <w:r w:rsidRPr="00A1333F">
        <w:rPr>
          <w:i/>
        </w:rPr>
        <w:t>!</w:t>
      </w:r>
      <w:r w:rsidRPr="00A1333F">
        <w:t xml:space="preserve"> </w:t>
      </w:r>
      <w:proofErr w:type="gramStart"/>
      <w:r w:rsidRPr="00A1333F">
        <w:t>session</w:t>
      </w:r>
      <w:proofErr w:type="gramEnd"/>
      <w:r w:rsidRPr="00A1333F">
        <w:t xml:space="preserve"> had a significant impact on final examination scores (p = .005). </w:t>
      </w:r>
      <w:proofErr w:type="gramStart"/>
      <w:r w:rsidRPr="00A1333F">
        <w:t>A case study</w:t>
      </w:r>
      <w:proofErr w:type="gramEnd"/>
      <w:r w:rsidRPr="00A1333F">
        <w:t xml:space="preserve"> from Portugal with 324 university students shows that </w:t>
      </w:r>
      <w:proofErr w:type="spellStart"/>
      <w:r w:rsidRPr="00A1333F">
        <w:rPr>
          <w:i/>
        </w:rPr>
        <w:t>Kahoot</w:t>
      </w:r>
      <w:proofErr w:type="spellEnd"/>
      <w:r w:rsidRPr="00A1333F">
        <w:rPr>
          <w:i/>
        </w:rPr>
        <w:t>!</w:t>
      </w:r>
      <w:r w:rsidRPr="00A1333F">
        <w:t xml:space="preserve"> improved mean scores by 6.4% compared to traditional teaching, that weaker students improved their grades by 12%, and fewer students failed courses </w:t>
      </w:r>
      <w:r w:rsidRPr="00A1333F">
        <w:fldChar w:fldCharType="begin" w:fldLock="1"/>
      </w:r>
      <w:r w:rsidR="00740188">
        <w:instrText>ADDIN CSL_CITATION {"citationItems":[{"id":"ITEM-1","itemData":{"DOI":"10.1007/978-3-319-73210-7_59","ISBN":"9783319732091","ISSN":"21945357","abstract":"We have conducted a study with higher level education students, in lecture classes of three Undergraduate Courses and one Professional Higher Technical Course that involved six different subjects with a total of 324 students. In this research the use of Game-Based Learning platform was analysed in order to encourage the students’ participation, increasing motivation and keeping them motivated and committed during lessons, therefore, increasing their learning skills. Based on these results, we recommend that Kahoot is used in lectures in order to help students develop their performances and abilities and at the same time be more successful and prepared to have an active participation in society.","author":[{"dropping-particle":"","family":"Esteves","given":"Micaela","non-dropping-particle":"","parse-names":false,"suffix":""},{"dropping-particle":"","family":"Pereira","given":"Angela","non-dropping-particle":"","parse-names":false,"suffix":""},{"dropping-particle":"","family":"Veiga","given":"Nuno","non-dropping-particle":"","parse-names":false,"suffix":""},{"dropping-particle":"","family":"Vasco","given":"Rui","non-dropping-particle":"","parse-names":false,"suffix":""},{"dropping-particle":"","family":"Veiga","given":"Anabela","non-dropping-particle":"","parse-names":false,"suffix":""}],"container-title":"Advances in Intelligent Systems and Computing","id":"ITEM-1","issue":"2","issued":{"date-parts":[["2018"]]},"page":"499-506","title":"The Use of New Learning Technologies in Higher Education Classroom: A Case Study","type":"article-journal","volume":"715"},"uris":["http://www.mendeley.com/documents/?uuid=e2f9e184-cd0f-4691-9d2d-8932ae2e4f08"]}],"mendeley":{"formattedCitation":"[41]","plainTextFormattedCitation":"[41]","previouslyFormattedCitation":"[41]"},"properties":{"noteIndex":0},"schema":"https://github.com/citation-style-language/schema/raw/master/csl-citation.json"}</w:instrText>
      </w:r>
      <w:r w:rsidRPr="00A1333F">
        <w:fldChar w:fldCharType="separate"/>
      </w:r>
      <w:r w:rsidR="00740188" w:rsidRPr="00740188">
        <w:rPr>
          <w:noProof/>
        </w:rPr>
        <w:t>[41]</w:t>
      </w:r>
      <w:r w:rsidRPr="00A1333F">
        <w:fldChar w:fldCharType="end"/>
      </w:r>
      <w:r w:rsidRPr="00A1333F">
        <w:t xml:space="preserve">. Likewise, middle and novice students in high schools in Taiwan learning Chinese had a significant improvement on the post-test using </w:t>
      </w:r>
      <w:proofErr w:type="spellStart"/>
      <w:r w:rsidRPr="00A1333F">
        <w:rPr>
          <w:i/>
        </w:rPr>
        <w:t>Kahoot</w:t>
      </w:r>
      <w:proofErr w:type="spellEnd"/>
      <w:r w:rsidRPr="00A1333F">
        <w:rPr>
          <w:i/>
        </w:rPr>
        <w:t>!</w:t>
      </w:r>
      <w:r w:rsidRPr="00A1333F">
        <w:t xml:space="preserve"> compared to other groups (p &lt;</w:t>
      </w:r>
      <w:r w:rsidR="00A22E32">
        <w:t xml:space="preserve">.028) </w:t>
      </w:r>
      <w:r w:rsidR="00A22E32">
        <w:fldChar w:fldCharType="begin" w:fldLock="1"/>
      </w:r>
      <w:r w:rsidR="00740188">
        <w:instrText>ADDIN CSL_CITATION {"citationItems":[{"id":"ITEM-1","itemData":{"DOI":"10.36681/tused.2021.57","ISBN":"0000000276436","ISSN":"13046020","abstract":"It is the teacher’s responsibility in paying serious attention on highlighting the 21st century way of learning in transforming the education system, focusing on equipping students with communication skills, critical thinking, and collaboration skills. This 21st century learning requires suitable teaching aids to achieve the learning objectives. Online game-based learning is considered as one of the new methods, which is capable of raising sudents’ engagement and active learning. This study aimed to obtain the pre-university students’ perception on the usage of Kahoot! in enhancing their engagement and active learning in the Biology classroom. In addition, this study also aimed to identify the dominant factors that encourage students to engage in learning and facilitating sessions in order to enhance students’ active learning. A quantitative research methodology using survey was implemented in this study. A total of 100 students from pre-university colleges at the northern Malaysia were involved as the sample of this study. The data were analyzed using the SPSS 24.0 to obtain descriptive analysis as well as inferential analysis. The findings indicated that the students believed that Kahoot! can attract them to participate in learning sessions and enhance the students’ active learning. Students also agreed that the dominant factors that it motivates them to engage in learning and facilitate sessions, as there is a good interaction and communication between partners and teachers. Hence the findings of this study are expected to encourage teachers especially in pre-university level to integrate the usage of online game approaches such as Kahoot! in Biology subjects to enhance the students’ engagement and active learning. This is in line with the needs of the current pedagogy that further stimulates the atmosphere of active learning in the classroom leading towards the revolution industry 4.0 and the 21st century learning.","author":[{"dropping-particle":"","family":"Asniza","given":"Ishak Nor","non-dropping-particle":"","parse-names":false,"suffix":""},{"dropping-particle":"","family":"Zuraidah","given":"Md Osman Siti","non-dropping-particle":"","parse-names":false,"suffix":""},{"dropping-particle":"","family":"Baharuddin","given":"Abdul Rahman Md","non-dropping-particle":"","parse-names":false,"suffix":""},{"dropping-particle":"","family":"Zuhair","given":"Zainal Muhammad","non-dropping-particle":"","parse-names":false,"suffix":""},{"dropping-particle":"","family":"Nooraıda","given":"Yakob","non-dropping-particle":"","parse-names":false,"suffix":""}],"container-title":"Journal of Turkish Science Education","id":"ITEM-1","issue":"1","issued":{"date-parts":[["2021"]]},"page":"145-160","title":"Online Game-Based Learning Using Kahoot! to Enhance Pre-University Students’ Active Learning: A Students’ Perception in Biology Classroom","type":"article-journal","volume":"18"},"uris":["http://www.mendeley.com/documents/?uuid=11b0c40d-d64b-4b2a-abe4-e78cb8455b15"]}],"mendeley":{"formattedCitation":"[42]","plainTextFormattedCitation":"[42]","previouslyFormattedCitation":"[42]"},"properties":{"noteIndex":0},"schema":"https://github.com/citation-style-language/schema/raw/master/csl-citation.json"}</w:instrText>
      </w:r>
      <w:r w:rsidR="00A22E32">
        <w:fldChar w:fldCharType="separate"/>
      </w:r>
      <w:r w:rsidR="00740188" w:rsidRPr="00740188">
        <w:rPr>
          <w:noProof/>
        </w:rPr>
        <w:t>[42]</w:t>
      </w:r>
      <w:r w:rsidR="00A22E32">
        <w:fldChar w:fldCharType="end"/>
      </w:r>
      <w:r w:rsidRPr="00A1333F">
        <w:t xml:space="preserve">. Another study showed 12% higher test results for college students playing </w:t>
      </w:r>
      <w:proofErr w:type="spellStart"/>
      <w:r w:rsidRPr="00A1333F">
        <w:rPr>
          <w:i/>
        </w:rPr>
        <w:t>Kahoot</w:t>
      </w:r>
      <w:proofErr w:type="spellEnd"/>
      <w:r w:rsidRPr="00A1333F">
        <w:rPr>
          <w:i/>
        </w:rPr>
        <w:t>!</w:t>
      </w:r>
      <w:r w:rsidRPr="00A1333F">
        <w:t xml:space="preserve"> compared with those exposed to traditional teaching (p = .039, low effect size) </w:t>
      </w:r>
      <w:r w:rsidR="007602C1">
        <w:fldChar w:fldCharType="begin" w:fldLock="1"/>
      </w:r>
      <w:r w:rsidR="00740188">
        <w:instrText>ADDIN CSL_CITATION {"citationItems":[{"id":"ITEM-1","itemData":{"DOI":"10.1080/20905068.2021.1954413","ISSN":"2090-5068","abstract":"Introduction Pathology teaching for medical undergraduate students linking basic and clinical sciences together is a challenging task. Kahoot! is a game-based online digital formative assessment tool that can engage students in its learning. This study analyzed the effect of Kahoot! use on studentś learning of Pathology. Methods The study was carried out on the first-year Pathology students at Helwan University, Faculty of Medicine, after ending a basic Pathology course. The study is a retrospective quasi-experimental quantitative study. Academic performance of students in Pathology was compared between Kahoot! and non-Kahoot! users (55 students each). In addition, an online survey was introduced to the 55 Kahoot! user students to investigate their perceptions on Kahoot!. Survey and test score data were analyzed by appropriate tests using IBM-SPSS (Statistical Package for Social Sciences) Version 21.0. The level of significance was P &lt;0.05. Results Kahoot! enhanced Pathology understanding (83.6%), retaining knowledge (87.3%), made learning fun and motivating (89.1%). Other mentioned advantages of Kahoot! were practicing for the exam (40%), simple and easy to use (36.4%), competitive (18.2%), self-confidence booster (10.9%), forming a comprehensive image of the lecture (9%), quick (9%), and imagining skills booster (5.5%). Mentioned disadvantages included no explanation for the answers to the questions (20%). A quarter of the students stated that the time limit for the questions was short (27.3%). Kahoot! use was significantly associated with better Pathology academic performance (P=0.001), and it was not related to the general academic performance of the students (P=0.06). The majority of users (85.4%) recommended its continuous future use. Conclusions The study offers an endorsement to the use of Kahoot! for gamifying formative assessment of Pathology and can provide a basis for the design of an online Kahoot!-based continuous formative assessment plans implemented outside-classroom in the Pathology curricula. ### Competing Interest Statement The authors have declared no competing interest. ### Funding Statement This research did not receive any specific grant from funding agencies in the public, commercial, or not-for-profit sectors. ### Author Declarations I confirm all relevant ethical guidelines have been followed, and any necessary IRB and/or ethics committee approvals have been obtained. Yes The details of the IRB/oversight body that provided app…","author":[{"dropping-particle":"","family":"Elkhamisy","given":"Fatma Alzahraa Abdelsalam","non-dropping-particle":"","parse-names":false,"suffix":""},{"dropping-particle":"","family":"Wassef","given":"Rita Maher","non-dropping-particle":"","parse-names":false,"suffix":""}],"container-title":"Alexandria Journal of Medicine","id":"ITEM-1","issue":"1","issued":{"date-parts":[["2021"]]},"page":"215-223","publisher":"Taylor &amp; Francis","title":"Innovating pathology learning via Kahoot! game-based tool: a quantitative study of students` perceptions and academic performance","type":"article-journal","volume":"57"},"uris":["http://www.mendeley.com/documents/?uuid=5676dd53-a570-4622-bac5-d5d8888554af"]}],"mendeley":{"formattedCitation":"[43]","plainTextFormattedCitation":"[43]","previouslyFormattedCitation":"[43]"},"properties":{"noteIndex":0},"schema":"https://github.com/citation-style-language/schema/raw/master/csl-citation.json"}</w:instrText>
      </w:r>
      <w:r w:rsidR="007602C1">
        <w:fldChar w:fldCharType="separate"/>
      </w:r>
      <w:r w:rsidR="00740188" w:rsidRPr="00740188">
        <w:rPr>
          <w:noProof/>
        </w:rPr>
        <w:t>[43]</w:t>
      </w:r>
      <w:r w:rsidR="007602C1">
        <w:fldChar w:fldCharType="end"/>
      </w:r>
      <w:r w:rsidRPr="00A1333F">
        <w:rPr>
          <w:color w:val="000000" w:themeColor="text1"/>
        </w:rPr>
        <w:t xml:space="preserve">. </w:t>
      </w:r>
      <w:r w:rsidRPr="00A1333F">
        <w:t xml:space="preserve">Then, the business course final exam scores with 96 students were, on average, 79.56 for students taught using </w:t>
      </w:r>
      <w:proofErr w:type="spellStart"/>
      <w:r w:rsidRPr="00A1333F">
        <w:rPr>
          <w:i/>
        </w:rPr>
        <w:t>Kahoot</w:t>
      </w:r>
      <w:proofErr w:type="spellEnd"/>
      <w:r w:rsidRPr="00A1333F">
        <w:rPr>
          <w:i/>
        </w:rPr>
        <w:t>!</w:t>
      </w:r>
      <w:r w:rsidRPr="00A1333F">
        <w:t xml:space="preserve"> </w:t>
      </w:r>
      <w:proofErr w:type="gramStart"/>
      <w:r w:rsidRPr="00A1333F">
        <w:t>compared</w:t>
      </w:r>
      <w:proofErr w:type="gramEnd"/>
      <w:r w:rsidRPr="00A1333F">
        <w:t xml:space="preserve"> with 56.83 for students who taught using traditional teaching (p &lt;.0001, high effect size). There are also several other studies related to learning at </w:t>
      </w:r>
      <w:proofErr w:type="spellStart"/>
      <w:r w:rsidRPr="00A1333F">
        <w:rPr>
          <w:i/>
        </w:rPr>
        <w:t>Kahoot</w:t>
      </w:r>
      <w:proofErr w:type="spellEnd"/>
      <w:r w:rsidRPr="00A1333F">
        <w:rPr>
          <w:i/>
        </w:rPr>
        <w:t>!</w:t>
      </w:r>
      <w:r w:rsidRPr="00A1333F">
        <w:t xml:space="preserve"> However, it does not compare the effects of learning </w:t>
      </w:r>
      <w:proofErr w:type="spellStart"/>
      <w:r w:rsidRPr="00A1333F">
        <w:rPr>
          <w:i/>
        </w:rPr>
        <w:t>Kahoot</w:t>
      </w:r>
      <w:proofErr w:type="spellEnd"/>
      <w:r w:rsidRPr="00A1333F">
        <w:rPr>
          <w:i/>
        </w:rPr>
        <w:t>!</w:t>
      </w:r>
      <w:r w:rsidRPr="00A1333F">
        <w:t xml:space="preserve"> </w:t>
      </w:r>
      <w:proofErr w:type="gramStart"/>
      <w:r w:rsidRPr="00A1333F">
        <w:t>with</w:t>
      </w:r>
      <w:proofErr w:type="gramEnd"/>
      <w:r w:rsidRPr="00A1333F">
        <w:t xml:space="preserve"> another learning approach. One example is an article investigating how the learner is a leadership strategy. Students create and host their quizzes in </w:t>
      </w:r>
      <w:proofErr w:type="spellStart"/>
      <w:r w:rsidRPr="00A1333F">
        <w:rPr>
          <w:i/>
        </w:rPr>
        <w:t>Kahoot</w:t>
      </w:r>
      <w:proofErr w:type="spellEnd"/>
      <w:r w:rsidRPr="00A1333F">
        <w:rPr>
          <w:i/>
        </w:rPr>
        <w:t>!</w:t>
      </w:r>
      <w:r w:rsidRPr="00A1333F">
        <w:t xml:space="preserve"> affects the learning ou</w:t>
      </w:r>
      <w:r w:rsidR="00623828">
        <w:t xml:space="preserve">tcome </w:t>
      </w:r>
      <w:r w:rsidR="00623828">
        <w:fldChar w:fldCharType="begin" w:fldLock="1"/>
      </w:r>
      <w:r w:rsidR="00740188">
        <w:instrText>ADDIN CSL_CITATION {"citationItems":[{"id":"ITEM-1","itemData":{"DOI":"10.1080/10494820.2021.1881798","ISSN":"17445191","abstract":"Student response systems (SRS) have been used to provide teachers with immediate feedback on learners’ performance to understand their weaknesses and strengths. This exploratory study is aimed at focusing on both distractive and facilitative aspects of using SRS in English as a foreign language (EFL) classes to assess learners’ understanding of grammar lessons. Eighty university students majored in English language and literature attended a grammar course accompanied by Kahoot, a free online game-based application as an SRS. Students’ perspectives about positive and negative aspects of the application were explored prior and subsequent to its implementation through open-ended surveys and interviews. In addition, their classes were observed for more in-depth information. The results revealed that despite its positive features, most of the students were not willing to take part in this game-based application. They mentioned the Internet connection problems, the high pace of the game, its competitive nature and the lack of detailed explanation after the game as the main reasons for their unwillingness toward using this application in the classroom, which made most of the learners demotivated and distracted. The implications for teachers are also discussed.","author":[{"dropping-particle":"","family":"Ebadi","given":"Saman","non-dropping-particle":"","parse-names":false,"suffix":""},{"dropping-particle":"","family":"Rasouli","given":"Rezvan","non-dropping-particle":"","parse-names":false,"suffix":""},{"dropping-particle":"","family":"Mohamadi","given":"Mona","non-dropping-particle":"","parse-names":false,"suffix":""}],"container-title":"Interactive Learning Environments","id":"ITEM-1","issue":"0","issued":{"date-parts":[["2021"]]},"page":"1-13","publisher":"Taylor &amp; Francis","title":"Exploring EFL learners’ perspectives on using Kahoot as a game-based student response system","type":"article-journal","volume":"0"},"uris":["http://www.mendeley.com/documents/?uuid=e59c0a63-894e-4796-9b6f-9b2bfe417f97"]}],"mendeley":{"formattedCitation":"[44]","plainTextFormattedCitation":"[44]","previouslyFormattedCitation":"[44]"},"properties":{"noteIndex":0},"schema":"https://github.com/citation-style-language/schema/raw/master/csl-citation.json"}</w:instrText>
      </w:r>
      <w:r w:rsidR="00623828">
        <w:fldChar w:fldCharType="separate"/>
      </w:r>
      <w:r w:rsidR="00740188" w:rsidRPr="00740188">
        <w:rPr>
          <w:noProof/>
        </w:rPr>
        <w:t>[44]</w:t>
      </w:r>
      <w:r w:rsidR="00623828">
        <w:fldChar w:fldCharType="end"/>
      </w:r>
      <w:r w:rsidRPr="00A1333F">
        <w:t xml:space="preserve">. The main finding was that the learner as leader strategy contributed to enhancing discussions in groups, especially for the leading group, and benefited those who acted as leaders. Another study showed that the number of </w:t>
      </w:r>
      <w:proofErr w:type="spellStart"/>
      <w:r w:rsidRPr="00A1333F">
        <w:rPr>
          <w:i/>
        </w:rPr>
        <w:t>Kahoot</w:t>
      </w:r>
      <w:proofErr w:type="spellEnd"/>
      <w:r w:rsidRPr="00A1333F">
        <w:rPr>
          <w:i/>
        </w:rPr>
        <w:t>!</w:t>
      </w:r>
      <w:r w:rsidRPr="00A1333F">
        <w:t xml:space="preserve"> quizzes the students played affected their final grade and a tendency that the more quizzes they had played - the better they performed on the final exam </w:t>
      </w:r>
      <w:r w:rsidRPr="00A1333F">
        <w:rPr>
          <w:color w:val="2E2E2E"/>
        </w:rPr>
        <w:fldChar w:fldCharType="begin" w:fldLock="1"/>
      </w:r>
      <w:r w:rsidR="00740188">
        <w:rPr>
          <w:color w:val="2E2E2E"/>
        </w:rPr>
        <w:instrText>ADDIN CSL_CITATION {"citationItems":[{"id":"ITEM-1","itemData":{"DOI":"10.3311/PPso.12464","ISSN":"15873803","abstract":"Students taking low-stake quizzes in a gamified environment shows improvement on their studies, thus has the potential to be an effective part in an improved learning experience. Previous researches show that implementing gamification into the educational system has positive outcome on the student's engagement, motivation and the overall experience of learning. In this study is a field experiment, where quizzes were created with the Kahoot application, to bring action and visual triggers into the classroom. The aim of this paper to measure the long-term learning effect of the Kahoot quiz in the exams. Several of the quiz questions during the class were purposefully blended into the exam's question bank as a multiple choice or a true or false question. In this research 200 bachelor students participated in a 14-week long elective course. The data was collected weekly from the Kahoot quizzes and from the two mandatory exams. All the results from the Kahoot quiz and the exams provided the base of the analysis. Furthermore, the exam results were analyzed based on number of Kahoot quizzes they took part, a comparison of the results of each question based. The results show that students who took part in more Kahoot quizzes tend to reach higher exam mark. Moreover, they marked more correct answers and less incorrect ones. As a conclusion, using some level of game-based learning has a positive effect on the student's results and perception of learning.","author":[{"dropping-particle":"","family":"Tóth","given":"Áron","non-dropping-particle":"","parse-names":false,"suffix":""},{"dropping-particle":"","family":"Lógó","given":"Péter","non-dropping-particle":"","parse-names":false,"suffix":""},{"dropping-particle":"","family":"Lógó","given":"Emma","non-dropping-particle":"","parse-names":false,"suffix":""}],"container-title":"Periodica Polytechnica Social and Management Sciences","id":"ITEM-1","issue":"2","issued":{"date-parts":[["2019"]]},"page":"173-179","title":"The effect of the kahoot quiz on the student's results in the exam","type":"article-journal","volume":"27"},"uris":["http://www.mendeley.com/documents/?uuid=25b6d45c-8e17-4b53-b073-d3fa532ad1ea"]}],"mendeley":{"formattedCitation":"[45]","plainTextFormattedCitation":"[45]","previouslyFormattedCitation":"[45]"},"properties":{"noteIndex":0},"schema":"https://github.com/citation-style-language/schema/raw/master/csl-citation.json"}</w:instrText>
      </w:r>
      <w:r w:rsidRPr="00A1333F">
        <w:rPr>
          <w:color w:val="2E2E2E"/>
        </w:rPr>
        <w:fldChar w:fldCharType="separate"/>
      </w:r>
      <w:r w:rsidR="00740188" w:rsidRPr="00740188">
        <w:rPr>
          <w:noProof/>
          <w:color w:val="2E2E2E"/>
        </w:rPr>
        <w:t>[45]</w:t>
      </w:r>
      <w:r w:rsidRPr="00A1333F">
        <w:rPr>
          <w:color w:val="2E2E2E"/>
        </w:rPr>
        <w:fldChar w:fldCharType="end"/>
      </w:r>
      <w:r w:rsidRPr="00A1333F">
        <w:t xml:space="preserve">. Likewise, an article investigated the relationship between the scores on </w:t>
      </w:r>
      <w:proofErr w:type="spellStart"/>
      <w:r w:rsidRPr="00A1333F">
        <w:rPr>
          <w:i/>
        </w:rPr>
        <w:t>Kahoot</w:t>
      </w:r>
      <w:proofErr w:type="spellEnd"/>
      <w:r w:rsidRPr="00A1333F">
        <w:rPr>
          <w:i/>
        </w:rPr>
        <w:t>!</w:t>
      </w:r>
      <w:r w:rsidRPr="00A1333F">
        <w:t xml:space="preserve"> </w:t>
      </w:r>
      <w:proofErr w:type="gramStart"/>
      <w:r w:rsidRPr="00A1333F">
        <w:t>games</w:t>
      </w:r>
      <w:proofErr w:type="gramEnd"/>
      <w:r w:rsidRPr="00A1333F">
        <w:t xml:space="preserve"> in a class and the final grade found a strong correlation between game performance and final grade (p = .005, high effect). A case study from Malaysia focused on how well </w:t>
      </w:r>
      <w:proofErr w:type="spellStart"/>
      <w:r w:rsidRPr="00A1333F">
        <w:rPr>
          <w:i/>
        </w:rPr>
        <w:t>Kahoot</w:t>
      </w:r>
      <w:proofErr w:type="spellEnd"/>
      <w:r w:rsidRPr="00A1333F">
        <w:rPr>
          <w:i/>
        </w:rPr>
        <w:t>!</w:t>
      </w:r>
      <w:r w:rsidRPr="00A1333F">
        <w:t xml:space="preserve"> </w:t>
      </w:r>
      <w:proofErr w:type="gramStart"/>
      <w:r w:rsidRPr="00A1333F">
        <w:t>supported</w:t>
      </w:r>
      <w:proofErr w:type="gramEnd"/>
      <w:r w:rsidRPr="00A1333F">
        <w:t xml:space="preserve"> </w:t>
      </w:r>
      <w:proofErr w:type="spellStart"/>
      <w:r w:rsidRPr="00A1333F">
        <w:t>Nicol</w:t>
      </w:r>
      <w:proofErr w:type="spellEnd"/>
      <w:r w:rsidRPr="00A1333F">
        <w:t xml:space="preserve"> and Milligan's principles for good feedback practice and found that </w:t>
      </w:r>
      <w:proofErr w:type="spellStart"/>
      <w:r w:rsidRPr="00A1333F">
        <w:rPr>
          <w:i/>
        </w:rPr>
        <w:t>Kahoot</w:t>
      </w:r>
      <w:proofErr w:type="spellEnd"/>
      <w:r w:rsidRPr="00A1333F">
        <w:rPr>
          <w:i/>
        </w:rPr>
        <w:t>!</w:t>
      </w:r>
      <w:r w:rsidRPr="00A1333F">
        <w:t xml:space="preserve"> fulfills four out of seven principles </w:t>
      </w:r>
      <w:r w:rsidR="0004541E">
        <w:fldChar w:fldCharType="begin" w:fldLock="1"/>
      </w:r>
      <w:r w:rsidR="00740188">
        <w:instrText>ADDIN CSL_CITATION {"citationItems":[{"id":"ITEM-1","itemData":{"DOI":"10.1080/10899995.2021.1877526","ISSN":"21581428","abstract":"This first analysis of aggregated data from the Kahoot! game-based player response system demonstrates that it can provide assessments of overall US student polar knowledge and identifies differences in polar knowledge across several states. A kahoot online quiz on polar topics recorded over 25,000 United States teacher-hosted classroom players (mostly middle-high school students) run by 1,167 unique teacher hosts within nine months (09/2018 through 06/2019). This high volume of teacher-initiated kahoots shows that many US teachers are motivated to include polar content in their teaching. We selected a subset of questions for analysis to compare with external data from a 2016 survey assessing polar knowledge of the US adult public. On three directly comparable questions kahoot student accuracy averaged just 30%, well below the 49% average accuracy observed on the nationwide survey of adults. Our geographic analysis focused on 13 states that had greater than 100 players for all questions analyzed. Among these, students in Rhode Island, Oregon, Arizona, and Washington exhibit the highest scores overall, while responses from Ohio and Illinois students appeared no better than guessing. Although widespread US teacher interest in polar content is indicated by the many who chose to use the polar kahoot in their classroom, students’ polar knowledge proves to be very low. These findings reinforce a need to include more polar and Earth system content in curricula, as well as to crowdsource benchmarked suites of knowledge questions appropriate for assessment of educational interventions.","author":[{"dropping-particle":"","family":"Pfirman","given":"Stephanie","non-dropping-particle":"","parse-names":false,"suffix":""},{"dropping-particle":"","family":"Hamilton","given":"Lawrence","non-dropping-particle":"","parse-names":false,"suffix":""},{"dropping-particle":"","family":"Turrin","given":"Margie","non-dropping-particle":"","parse-names":false,"suffix":""},{"dropping-particle":"","family":"Narveson","given":"Craig","non-dropping-particle":"","parse-names":false,"suffix":""},{"dropping-particle":"","family":"Lloyd","given":"Carrie A.","non-dropping-particle":"","parse-names":false,"suffix":""}],"container-title":"Journal of Geoscience Education","id":"ITEM-1","issue":"2","issued":{"date-parts":[["2021"]]},"page":"150-165","publisher":"Routledge","title":"Polar knowledge of US students as indicated by an online Kahoot! quiz game","type":"article-journal","volume":"69"},"uris":["http://www.mendeley.com/documents/?uuid=a52b35d9-93a6-4ac0-a2d4-0e0b00058236"]}],"mendeley":{"formattedCitation":"[46]","plainTextFormattedCitation":"[46]","previouslyFormattedCitation":"[46]"},"properties":{"noteIndex":0},"schema":"https://github.com/citation-style-language/schema/raw/master/csl-citation.json"}</w:instrText>
      </w:r>
      <w:r w:rsidR="0004541E">
        <w:fldChar w:fldCharType="separate"/>
      </w:r>
      <w:r w:rsidR="00740188" w:rsidRPr="00740188">
        <w:rPr>
          <w:noProof/>
        </w:rPr>
        <w:t>[46]</w:t>
      </w:r>
      <w:r w:rsidR="0004541E">
        <w:fldChar w:fldCharType="end"/>
      </w:r>
      <w:r w:rsidRPr="00A1333F">
        <w:t xml:space="preserve">. The identified feedback practices not fully supported in </w:t>
      </w:r>
      <w:proofErr w:type="spellStart"/>
      <w:r w:rsidRPr="00A1333F">
        <w:rPr>
          <w:i/>
        </w:rPr>
        <w:t>Kahoot</w:t>
      </w:r>
      <w:proofErr w:type="spellEnd"/>
      <w:r w:rsidRPr="00A1333F">
        <w:rPr>
          <w:i/>
        </w:rPr>
        <w:t>!</w:t>
      </w:r>
      <w:r w:rsidRPr="00A1333F">
        <w:t xml:space="preserve"> </w:t>
      </w:r>
      <w:proofErr w:type="gramStart"/>
      <w:r w:rsidRPr="00A1333F">
        <w:t>were</w:t>
      </w:r>
      <w:proofErr w:type="gramEnd"/>
      <w:r w:rsidRPr="00A1333F">
        <w:t xml:space="preserve"> 1) Ability to assist in clarifying what good performance is; 2) Ability to deliver high-quality information to students about their learning; and 3) Ability to encourage teacher and peer dialogue around learning. At last, there is a pilot study from South Korea with 51 university students that found </w:t>
      </w:r>
      <w:proofErr w:type="spellStart"/>
      <w:r w:rsidRPr="00A1333F">
        <w:rPr>
          <w:i/>
        </w:rPr>
        <w:t>Kahoot</w:t>
      </w:r>
      <w:proofErr w:type="spellEnd"/>
      <w:r w:rsidRPr="00A1333F">
        <w:rPr>
          <w:i/>
        </w:rPr>
        <w:t>!</w:t>
      </w:r>
      <w:r w:rsidRPr="00A1333F">
        <w:t xml:space="preserve"> </w:t>
      </w:r>
      <w:proofErr w:type="gramStart"/>
      <w:r w:rsidRPr="00A1333F">
        <w:t>improves</w:t>
      </w:r>
      <w:proofErr w:type="gramEnd"/>
      <w:r w:rsidRPr="00A1333F">
        <w:t xml:space="preserve"> vocabulary retention while fostering a positive learning environment and a meaningful learning experience</w:t>
      </w:r>
      <w:r w:rsidRPr="00A1333F">
        <w:rPr>
          <w:color w:val="2E2E2E"/>
        </w:rPr>
        <w:t>.</w:t>
      </w:r>
    </w:p>
    <w:p w14:paraId="081FBC28" w14:textId="77777777" w:rsidR="00E51832" w:rsidRPr="004F5D61" w:rsidRDefault="00E51832" w:rsidP="004F5D61">
      <w:pPr>
        <w:ind w:firstLine="720"/>
        <w:jc w:val="both"/>
      </w:pPr>
    </w:p>
    <w:p w14:paraId="0FAA9B4E" w14:textId="69DA3360" w:rsidR="00F913D6" w:rsidRDefault="00F913D6" w:rsidP="00F913D6">
      <w:pPr>
        <w:numPr>
          <w:ilvl w:val="0"/>
          <w:numId w:val="18"/>
        </w:numPr>
        <w:tabs>
          <w:tab w:val="left" w:pos="426"/>
        </w:tabs>
        <w:ind w:left="426" w:hanging="426"/>
        <w:rPr>
          <w:b/>
          <w:bCs/>
          <w:lang w:val="id-ID"/>
        </w:rPr>
      </w:pPr>
      <w:r>
        <w:rPr>
          <w:b/>
          <w:bCs/>
          <w:lang w:val="id-ID"/>
        </w:rPr>
        <w:t>CONCLUSION</w:t>
      </w:r>
      <w:r w:rsidR="004F5D61">
        <w:rPr>
          <w:b/>
          <w:bCs/>
        </w:rPr>
        <w:t xml:space="preserve"> </w:t>
      </w:r>
    </w:p>
    <w:p w14:paraId="1B09D064" w14:textId="007618A8" w:rsidR="00FE55C8" w:rsidRPr="00FE55C8" w:rsidRDefault="00FE55C8" w:rsidP="00FE55C8">
      <w:pPr>
        <w:ind w:firstLine="720"/>
        <w:jc w:val="both"/>
      </w:pPr>
      <w:r w:rsidRPr="00FE55C8">
        <w:t xml:space="preserve">The main conclusions of the studies described above suggest that </w:t>
      </w:r>
      <w:proofErr w:type="spellStart"/>
      <w:r w:rsidRPr="00FE55C8">
        <w:rPr>
          <w:i/>
        </w:rPr>
        <w:t>Kahoot</w:t>
      </w:r>
      <w:proofErr w:type="spellEnd"/>
      <w:r w:rsidRPr="00FE55C8">
        <w:rPr>
          <w:i/>
        </w:rPr>
        <w:t>!</w:t>
      </w:r>
      <w:r w:rsidRPr="00FE55C8">
        <w:t xml:space="preserve"> </w:t>
      </w:r>
      <w:proofErr w:type="gramStart"/>
      <w:r w:rsidRPr="00FE55C8">
        <w:t>can</w:t>
      </w:r>
      <w:proofErr w:type="gramEnd"/>
      <w:r w:rsidRPr="00FE55C8">
        <w:t xml:space="preserve"> positively affect learning compared to other tools and approaches and various contexts and domains. This means that German </w:t>
      </w:r>
      <w:r w:rsidRPr="00FE55C8">
        <w:lastRenderedPageBreak/>
        <w:t>student learning outcomes, especially in the </w:t>
      </w:r>
      <w:proofErr w:type="spellStart"/>
      <w:r w:rsidRPr="00FE55C8">
        <w:rPr>
          <w:i/>
          <w:iCs/>
        </w:rPr>
        <w:t>Sprechfertigkeit</w:t>
      </w:r>
      <w:proofErr w:type="spellEnd"/>
      <w:r w:rsidRPr="00FE55C8">
        <w:t xml:space="preserve"> 2 course with the </w:t>
      </w:r>
      <w:proofErr w:type="spellStart"/>
      <w:r w:rsidRPr="00FE55C8">
        <w:rPr>
          <w:i/>
        </w:rPr>
        <w:t>Kahoot</w:t>
      </w:r>
      <w:proofErr w:type="spellEnd"/>
      <w:r w:rsidRPr="00FE55C8">
        <w:rPr>
          <w:i/>
        </w:rPr>
        <w:t>!</w:t>
      </w:r>
      <w:r w:rsidRPr="00FE55C8">
        <w:t xml:space="preserve"> Educational Games application, give excellent results because of various educational games in </w:t>
      </w:r>
      <w:proofErr w:type="spellStart"/>
      <w:r w:rsidRPr="00FE55C8">
        <w:rPr>
          <w:i/>
        </w:rPr>
        <w:t>Kahoot</w:t>
      </w:r>
      <w:proofErr w:type="spellEnd"/>
      <w:r w:rsidRPr="00FE55C8">
        <w:rPr>
          <w:i/>
        </w:rPr>
        <w:t>!</w:t>
      </w:r>
      <w:r w:rsidRPr="00FE55C8">
        <w:t xml:space="preserve"> </w:t>
      </w:r>
      <w:proofErr w:type="gramStart"/>
      <w:r w:rsidRPr="00FE55C8">
        <w:t>increase</w:t>
      </w:r>
      <w:proofErr w:type="gramEnd"/>
      <w:r w:rsidRPr="00FE55C8">
        <w:t xml:space="preserve"> student learning outcomes so that students are very motivated, active, independent, passionate, and competitive in solving learning problems. Based on the results of statistical calculations, data analysis, discussion, and relevant research studies above, it is concluded that the educational game "</w:t>
      </w:r>
      <w:proofErr w:type="spellStart"/>
      <w:r w:rsidRPr="00FE55C8">
        <w:rPr>
          <w:i/>
        </w:rPr>
        <w:t>Kahoot</w:t>
      </w:r>
      <w:proofErr w:type="spellEnd"/>
      <w:r w:rsidRPr="00FE55C8">
        <w:rPr>
          <w:i/>
        </w:rPr>
        <w:t>!</w:t>
      </w:r>
      <w:r w:rsidRPr="00FE55C8">
        <w:t>" has a very significant effect on the learning outcomes of </w:t>
      </w:r>
      <w:proofErr w:type="spellStart"/>
      <w:r w:rsidRPr="00FE55C8">
        <w:rPr>
          <w:i/>
          <w:iCs/>
        </w:rPr>
        <w:t>Sprechfertigkeit</w:t>
      </w:r>
      <w:proofErr w:type="spellEnd"/>
      <w:r w:rsidRPr="00FE55C8">
        <w:t xml:space="preserve"> 2 German students. Likewise, the </w:t>
      </w:r>
      <w:proofErr w:type="spellStart"/>
      <w:r w:rsidRPr="00FE55C8">
        <w:rPr>
          <w:i/>
        </w:rPr>
        <w:t>Kahoot</w:t>
      </w:r>
      <w:proofErr w:type="spellEnd"/>
      <w:r w:rsidRPr="00FE55C8">
        <w:rPr>
          <w:i/>
        </w:rPr>
        <w:t>!</w:t>
      </w:r>
      <w:r w:rsidRPr="00FE55C8">
        <w:t xml:space="preserve"> </w:t>
      </w:r>
      <w:proofErr w:type="gramStart"/>
      <w:r w:rsidRPr="00FE55C8">
        <w:t>educational</w:t>
      </w:r>
      <w:proofErr w:type="gramEnd"/>
      <w:r w:rsidRPr="00FE55C8">
        <w:t xml:space="preserve"> game can be recommended as a medium of learning in improving the quality of learning both in schools and colleges.</w:t>
      </w:r>
    </w:p>
    <w:p w14:paraId="30B7ECF2" w14:textId="77777777" w:rsidR="00FE55C8" w:rsidRPr="005A104D" w:rsidRDefault="00FE55C8" w:rsidP="005A104D">
      <w:pPr>
        <w:ind w:firstLine="720"/>
        <w:jc w:val="both"/>
      </w:pPr>
    </w:p>
    <w:p w14:paraId="1AF34421" w14:textId="29B39F50" w:rsidR="00F913D6" w:rsidRDefault="00F913D6" w:rsidP="00F913D6">
      <w:pPr>
        <w:rPr>
          <w:rStyle w:val="apple-style-span"/>
          <w:b/>
          <w:color w:val="000000"/>
          <w:lang w:val="pt-BR"/>
        </w:rPr>
      </w:pPr>
      <w:r>
        <w:rPr>
          <w:rStyle w:val="apple-style-span"/>
          <w:b/>
          <w:color w:val="000000"/>
          <w:lang w:val="pt-BR"/>
        </w:rPr>
        <w:t xml:space="preserve">REFERENCES </w:t>
      </w:r>
    </w:p>
    <w:p w14:paraId="3DF6C3AB" w14:textId="52A16FE6" w:rsidR="00740188" w:rsidRPr="00740188" w:rsidRDefault="00740188" w:rsidP="00740188">
      <w:pPr>
        <w:widowControl w:val="0"/>
        <w:autoSpaceDE w:val="0"/>
        <w:autoSpaceDN w:val="0"/>
        <w:adjustRightInd w:val="0"/>
        <w:ind w:left="567" w:hanging="567"/>
        <w:jc w:val="both"/>
        <w:rPr>
          <w:noProof/>
          <w:szCs w:val="24"/>
        </w:rPr>
      </w:pPr>
      <w:r>
        <w:rPr>
          <w:color w:val="000000"/>
          <w:lang w:val="pt-BR"/>
        </w:rPr>
        <w:fldChar w:fldCharType="begin" w:fldLock="1"/>
      </w:r>
      <w:r>
        <w:rPr>
          <w:color w:val="000000"/>
          <w:lang w:val="pt-BR"/>
        </w:rPr>
        <w:instrText xml:space="preserve">ADDIN Mendeley Bibliography CSL_BIBLIOGRAPHY </w:instrText>
      </w:r>
      <w:r>
        <w:rPr>
          <w:color w:val="000000"/>
          <w:lang w:val="pt-BR"/>
        </w:rPr>
        <w:fldChar w:fldCharType="separate"/>
      </w:r>
      <w:r w:rsidRPr="00740188">
        <w:rPr>
          <w:noProof/>
          <w:szCs w:val="24"/>
        </w:rPr>
        <w:t>[1]</w:t>
      </w:r>
      <w:r w:rsidRPr="00740188">
        <w:rPr>
          <w:noProof/>
          <w:szCs w:val="24"/>
        </w:rPr>
        <w:tab/>
        <w:t xml:space="preserve">S. Gupta, S. Modgil, A. Gunasekaran, and S. Bag, “Dynamic capabilities and institutional theories for Industry 4.0 and digital supply chain,” </w:t>
      </w:r>
      <w:r w:rsidRPr="00740188">
        <w:rPr>
          <w:i/>
          <w:iCs/>
          <w:noProof/>
          <w:szCs w:val="24"/>
        </w:rPr>
        <w:t>Supply Chain Forum</w:t>
      </w:r>
      <w:r w:rsidRPr="00740188">
        <w:rPr>
          <w:noProof/>
          <w:szCs w:val="24"/>
        </w:rPr>
        <w:t>, vol. 21, no. 3, pp. 139–157, 2020, doi: 10.1080/16258312.2020.1757369.</w:t>
      </w:r>
    </w:p>
    <w:p w14:paraId="3EBD55E8"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w:t>
      </w:r>
      <w:r w:rsidRPr="00740188">
        <w:rPr>
          <w:noProof/>
          <w:szCs w:val="24"/>
        </w:rPr>
        <w:tab/>
        <w:t xml:space="preserve">M. Pabbajah, I. Abdullah, R. N. Widyanti, H. Jubba, and N. Alim, “Student demoralization in education:The industrialization of university curriculum in 4.0.Era Indonesia,” </w:t>
      </w:r>
      <w:r w:rsidRPr="00740188">
        <w:rPr>
          <w:i/>
          <w:iCs/>
          <w:noProof/>
          <w:szCs w:val="24"/>
        </w:rPr>
        <w:t>Cogent Educ.</w:t>
      </w:r>
      <w:r w:rsidRPr="00740188">
        <w:rPr>
          <w:noProof/>
          <w:szCs w:val="24"/>
        </w:rPr>
        <w:t>, vol. 7, no. 1, pp. 0–14, 2020, doi: 10.1080/2331186X.2020.1779506.</w:t>
      </w:r>
    </w:p>
    <w:p w14:paraId="00957682"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w:t>
      </w:r>
      <w:r w:rsidRPr="00740188">
        <w:rPr>
          <w:noProof/>
          <w:szCs w:val="24"/>
        </w:rPr>
        <w:tab/>
        <w:t xml:space="preserve">Kinshuk, N. S. Chen, I. L. Cheng, and S. W. Chew, “Evolution Is not enough: Revolutionizing Current Learning Environments to Smart Learning Environments,” </w:t>
      </w:r>
      <w:r w:rsidRPr="00740188">
        <w:rPr>
          <w:i/>
          <w:iCs/>
          <w:noProof/>
          <w:szCs w:val="24"/>
        </w:rPr>
        <w:t>Int. J. Artif. Intell. Educ.</w:t>
      </w:r>
      <w:r w:rsidRPr="00740188">
        <w:rPr>
          <w:noProof/>
          <w:szCs w:val="24"/>
        </w:rPr>
        <w:t>, vol. 26, no. 2, pp. 561–581, 2016, doi: 10.1007/s40593-016-0108-x.</w:t>
      </w:r>
    </w:p>
    <w:p w14:paraId="00F008CF" w14:textId="03799024"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[4]</w:t>
      </w:r>
      <w:r w:rsidRPr="00740188">
        <w:rPr>
          <w:noProof/>
          <w:szCs w:val="24"/>
        </w:rPr>
        <w:tab/>
        <w:t xml:space="preserve">S. K. Tran, “GOOGLE: a reflection of culture, leader, and management,” </w:t>
      </w:r>
      <w:r w:rsidRPr="00740188">
        <w:rPr>
          <w:i/>
          <w:iCs/>
          <w:noProof/>
          <w:szCs w:val="24"/>
        </w:rPr>
        <w:t>Int. J. Corp. Soc. Responsib.</w:t>
      </w:r>
      <w:r w:rsidRPr="00740188">
        <w:rPr>
          <w:noProof/>
          <w:szCs w:val="24"/>
        </w:rPr>
        <w:t xml:space="preserve">, vol. 2, no. 1, </w:t>
      </w:r>
      <w:r w:rsidR="003E33F2">
        <w:rPr>
          <w:noProof/>
          <w:szCs w:val="24"/>
        </w:rPr>
        <w:t xml:space="preserve">pp. 1-14, </w:t>
      </w:r>
      <w:r w:rsidRPr="00740188">
        <w:rPr>
          <w:noProof/>
          <w:szCs w:val="24"/>
        </w:rPr>
        <w:t>2017, doi: 10.1186/s40991-017-0021-0.</w:t>
      </w:r>
    </w:p>
    <w:p w14:paraId="138EADCB"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[5]</w:t>
      </w:r>
      <w:r w:rsidRPr="00740188">
        <w:rPr>
          <w:noProof/>
          <w:szCs w:val="24"/>
        </w:rPr>
        <w:tab/>
        <w:t xml:space="preserve">M. Stehle, “Ghetto voices in contemporary German culture: Textscapes, filmscapes, soundscapes,” </w:t>
      </w:r>
      <w:r w:rsidRPr="00740188">
        <w:rPr>
          <w:i/>
          <w:iCs/>
          <w:noProof/>
          <w:szCs w:val="24"/>
        </w:rPr>
        <w:t>Ghetto Voices Contemp. Ger. Cult. Textscapes, Film. Soundscapes</w:t>
      </w:r>
      <w:r w:rsidRPr="00740188">
        <w:rPr>
          <w:noProof/>
          <w:szCs w:val="24"/>
        </w:rPr>
        <w:t>, no. April 2015, pp. 1–201, 2011, doi: 10.1080/03007766.2013.867671.</w:t>
      </w:r>
    </w:p>
    <w:p w14:paraId="63ADF363" w14:textId="75659533"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[6]</w:t>
      </w:r>
      <w:r w:rsidRPr="00740188">
        <w:rPr>
          <w:noProof/>
          <w:szCs w:val="24"/>
        </w:rPr>
        <w:tab/>
        <w:t xml:space="preserve">M. Roca Lizarazu and J. Twist, “Rethinking </w:t>
      </w:r>
      <w:r w:rsidR="00625BD0" w:rsidRPr="00740188">
        <w:rPr>
          <w:noProof/>
          <w:szCs w:val="24"/>
        </w:rPr>
        <w:t>community and subjectivity in contemporary german culture and thought</w:t>
      </w:r>
      <w:r w:rsidRPr="00740188">
        <w:rPr>
          <w:noProof/>
          <w:szCs w:val="24"/>
        </w:rPr>
        <w:t xml:space="preserve">,” </w:t>
      </w:r>
      <w:r w:rsidRPr="00740188">
        <w:rPr>
          <w:i/>
          <w:iCs/>
          <w:noProof/>
          <w:szCs w:val="24"/>
        </w:rPr>
        <w:t>Oxf. Ger. Stud.</w:t>
      </w:r>
      <w:r w:rsidRPr="00740188">
        <w:rPr>
          <w:noProof/>
          <w:szCs w:val="24"/>
        </w:rPr>
        <w:t>, vol. 49, no. 2, pp. 103–116, 2020, doi: 10.1080/00787191.2020.1785676.</w:t>
      </w:r>
    </w:p>
    <w:p w14:paraId="235EF5B8" w14:textId="5690020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[7]</w:t>
      </w:r>
      <w:r w:rsidRPr="00740188">
        <w:rPr>
          <w:noProof/>
          <w:szCs w:val="24"/>
        </w:rPr>
        <w:tab/>
        <w:t xml:space="preserve">D. Hawes, “Precarious Times: </w:t>
      </w:r>
      <w:r w:rsidR="00625BD0" w:rsidRPr="00740188">
        <w:rPr>
          <w:noProof/>
          <w:szCs w:val="24"/>
        </w:rPr>
        <w:t xml:space="preserve">temporality and history in modern german culture - competing germanies: nazi, antifascist and jewish theatre in </w:t>
      </w:r>
      <w:r w:rsidRPr="00740188">
        <w:rPr>
          <w:noProof/>
          <w:szCs w:val="24"/>
        </w:rPr>
        <w:t xml:space="preserve">German Argentina, 1933-1965,” </w:t>
      </w:r>
      <w:r w:rsidRPr="00740188">
        <w:rPr>
          <w:i/>
          <w:iCs/>
          <w:noProof/>
          <w:szCs w:val="24"/>
        </w:rPr>
        <w:t>J. Contemp. Eur. Stud.</w:t>
      </w:r>
      <w:r w:rsidRPr="00740188">
        <w:rPr>
          <w:noProof/>
          <w:szCs w:val="24"/>
        </w:rPr>
        <w:t>, vol. 28, no. 2, pp. 271–272, 2020, doi: 10.1080/14782804.2020.1736383.</w:t>
      </w:r>
    </w:p>
    <w:p w14:paraId="0D05606D" w14:textId="4722326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[8]</w:t>
      </w:r>
      <w:r w:rsidRPr="00740188">
        <w:rPr>
          <w:noProof/>
          <w:szCs w:val="24"/>
        </w:rPr>
        <w:tab/>
        <w:t>C. Diller, M. Kohl, and T. Thaler, “German-</w:t>
      </w:r>
      <w:r w:rsidR="00625BD0" w:rsidRPr="00740188">
        <w:rPr>
          <w:noProof/>
          <w:szCs w:val="24"/>
        </w:rPr>
        <w:t>language spatial planning research between theory and practice</w:t>
      </w:r>
      <w:r w:rsidRPr="00740188">
        <w:rPr>
          <w:noProof/>
          <w:szCs w:val="24"/>
        </w:rPr>
        <w:t xml:space="preserve">,” </w:t>
      </w:r>
      <w:r w:rsidRPr="00740188">
        <w:rPr>
          <w:i/>
          <w:iCs/>
          <w:noProof/>
          <w:szCs w:val="24"/>
        </w:rPr>
        <w:t>Plan. Pract. Res.</w:t>
      </w:r>
      <w:r w:rsidRPr="00740188">
        <w:rPr>
          <w:noProof/>
          <w:szCs w:val="24"/>
        </w:rPr>
        <w:t>, vol. 00, no. 00, pp. 1–16, 2020, doi: 10.1080/02697459.2020.1829284.</w:t>
      </w:r>
    </w:p>
    <w:p w14:paraId="2250DB24"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[9]</w:t>
      </w:r>
      <w:r w:rsidRPr="00740188">
        <w:rPr>
          <w:noProof/>
          <w:szCs w:val="24"/>
        </w:rPr>
        <w:tab/>
        <w:t xml:space="preserve">H. Oktadiana and P. L. Pearce, “The ‘bule’ paradox in Indonesian tourism research: issues and prospects,” </w:t>
      </w:r>
      <w:r w:rsidRPr="00740188">
        <w:rPr>
          <w:i/>
          <w:iCs/>
          <w:noProof/>
          <w:szCs w:val="24"/>
        </w:rPr>
        <w:t>Asia Pacific J. Tour. Res.</w:t>
      </w:r>
      <w:r w:rsidRPr="00740188">
        <w:rPr>
          <w:noProof/>
          <w:szCs w:val="24"/>
        </w:rPr>
        <w:t>, vol. 22, no. 11, pp. 1099–1109, 2017, doi: 10.1080/10941665.2017.1374987.</w:t>
      </w:r>
    </w:p>
    <w:p w14:paraId="12F3A7A2"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[10]</w:t>
      </w:r>
      <w:r w:rsidRPr="00740188">
        <w:rPr>
          <w:noProof/>
          <w:szCs w:val="24"/>
        </w:rPr>
        <w:tab/>
        <w:t xml:space="preserve">Z. Dörnyei and K. Csizér, “The effects of intercultural contact and tourism on language attitudes and language learning motivation,” </w:t>
      </w:r>
      <w:r w:rsidRPr="00740188">
        <w:rPr>
          <w:i/>
          <w:iCs/>
          <w:noProof/>
          <w:szCs w:val="24"/>
        </w:rPr>
        <w:t>J. Lang. Soc. Psychol.</w:t>
      </w:r>
      <w:r w:rsidRPr="00740188">
        <w:rPr>
          <w:noProof/>
          <w:szCs w:val="24"/>
        </w:rPr>
        <w:t>, vol. 24, no. 4, pp. 327–357, 2005, doi: 10.1177/0261927X05281424.</w:t>
      </w:r>
    </w:p>
    <w:p w14:paraId="2872A421" w14:textId="0BDFD4B5"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[11]</w:t>
      </w:r>
      <w:r w:rsidRPr="00740188">
        <w:rPr>
          <w:noProof/>
          <w:szCs w:val="24"/>
        </w:rPr>
        <w:tab/>
        <w:t>S. J. Litualy, “Integrative T</w:t>
      </w:r>
      <w:r w:rsidR="00625BD0" w:rsidRPr="00740188">
        <w:rPr>
          <w:noProof/>
          <w:szCs w:val="24"/>
        </w:rPr>
        <w:t>eaching techniques and improvement of german speaking learning skills</w:t>
      </w:r>
      <w:r w:rsidRPr="00740188">
        <w:rPr>
          <w:noProof/>
          <w:szCs w:val="24"/>
        </w:rPr>
        <w:t xml:space="preserve">,” </w:t>
      </w:r>
      <w:r w:rsidRPr="00740188">
        <w:rPr>
          <w:i/>
          <w:iCs/>
          <w:noProof/>
          <w:szCs w:val="24"/>
        </w:rPr>
        <w:t>J. Educ. Pract.</w:t>
      </w:r>
      <w:r w:rsidRPr="00740188">
        <w:rPr>
          <w:noProof/>
          <w:szCs w:val="24"/>
        </w:rPr>
        <w:t>, vol. 7, no. 9, pp. 56–61, 2016.</w:t>
      </w:r>
    </w:p>
    <w:p w14:paraId="510F5B42" w14:textId="63DE8482"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[12]</w:t>
      </w:r>
      <w:r w:rsidRPr="00740188">
        <w:rPr>
          <w:noProof/>
          <w:szCs w:val="24"/>
        </w:rPr>
        <w:tab/>
        <w:t xml:space="preserve">J. P. Stein, X. Lu, and P. Ohler, “Mutual </w:t>
      </w:r>
      <w:r w:rsidR="00625BD0" w:rsidRPr="00740188">
        <w:rPr>
          <w:noProof/>
          <w:szCs w:val="24"/>
        </w:rPr>
        <w:t>perceptions of chinese and german students at a german university: stereotypes, media influence, and evidence for a negative contact hypothesis</w:t>
      </w:r>
      <w:r w:rsidRPr="00740188">
        <w:rPr>
          <w:noProof/>
          <w:szCs w:val="24"/>
        </w:rPr>
        <w:t xml:space="preserve">,” </w:t>
      </w:r>
      <w:r w:rsidRPr="00740188">
        <w:rPr>
          <w:i/>
          <w:iCs/>
          <w:noProof/>
          <w:szCs w:val="24"/>
        </w:rPr>
        <w:t>Compare</w:t>
      </w:r>
      <w:r w:rsidRPr="00740188">
        <w:rPr>
          <w:noProof/>
          <w:szCs w:val="24"/>
        </w:rPr>
        <w:t>, vol. 49, no. 6, pp. 943–963, 2019, doi: 10.1080/03057925.2018.1477579.</w:t>
      </w:r>
    </w:p>
    <w:p w14:paraId="552CC193"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[13]</w:t>
      </w:r>
      <w:r w:rsidRPr="00740188">
        <w:rPr>
          <w:noProof/>
          <w:szCs w:val="24"/>
        </w:rPr>
        <w:tab/>
        <w:t xml:space="preserve">K. Schröder, “Eight hundred years of modern language learning and teaching in the German-speaking countries of central Europe: a social history,” </w:t>
      </w:r>
      <w:r w:rsidRPr="00740188">
        <w:rPr>
          <w:i/>
          <w:iCs/>
          <w:noProof/>
          <w:szCs w:val="24"/>
        </w:rPr>
        <w:t>Lang. Learn. J.</w:t>
      </w:r>
      <w:r w:rsidRPr="00740188">
        <w:rPr>
          <w:noProof/>
          <w:szCs w:val="24"/>
        </w:rPr>
        <w:t>, vol. 46, no. 1, pp. 28–39, 2018, doi: 10.1080/09571736.2017.1382054.</w:t>
      </w:r>
    </w:p>
    <w:p w14:paraId="310B12FF"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[14]</w:t>
      </w:r>
      <w:r w:rsidRPr="00740188">
        <w:rPr>
          <w:noProof/>
          <w:szCs w:val="24"/>
        </w:rPr>
        <w:tab/>
        <w:t xml:space="preserve">C. E. Holbrey, “Kahoot! Using a game-based approach to blended learning to support effective learning environments and student engagement in traditional lecture theatres,” </w:t>
      </w:r>
      <w:r w:rsidRPr="00740188">
        <w:rPr>
          <w:i/>
          <w:iCs/>
          <w:noProof/>
          <w:szCs w:val="24"/>
        </w:rPr>
        <w:t>Technol. Pedagog. Educ.</w:t>
      </w:r>
      <w:r w:rsidRPr="00740188">
        <w:rPr>
          <w:noProof/>
          <w:szCs w:val="24"/>
        </w:rPr>
        <w:t>, vol. 29, no. 2, pp. 191–202, 2020, doi: 10.1080/1475939X.2020.1737568.</w:t>
      </w:r>
    </w:p>
    <w:p w14:paraId="10E49E60"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[15]</w:t>
      </w:r>
      <w:r w:rsidRPr="00740188">
        <w:rPr>
          <w:noProof/>
          <w:szCs w:val="24"/>
        </w:rPr>
        <w:tab/>
        <w:t xml:space="preserve">P. A. Baszuk and M. L. Heath, “Using Kahoot! to increase exam scores and engagement,” </w:t>
      </w:r>
      <w:r w:rsidRPr="00740188">
        <w:rPr>
          <w:i/>
          <w:iCs/>
          <w:noProof/>
          <w:szCs w:val="24"/>
        </w:rPr>
        <w:t>J. Educ. Bus.</w:t>
      </w:r>
      <w:r w:rsidRPr="00740188">
        <w:rPr>
          <w:noProof/>
          <w:szCs w:val="24"/>
        </w:rPr>
        <w:t>, vol. 95, no. 8, pp. 548–552, 2020, doi: 10.1080/08832323.2019.1707752.</w:t>
      </w:r>
    </w:p>
    <w:p w14:paraId="2D9C8545"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[16]</w:t>
      </w:r>
      <w:r w:rsidRPr="00740188">
        <w:rPr>
          <w:noProof/>
          <w:szCs w:val="24"/>
        </w:rPr>
        <w:tab/>
        <w:t xml:space="preserve">A. I. Wang and R. Tahir, “The effect of using Kahoot! for learning – A literature review,” </w:t>
      </w:r>
      <w:r w:rsidRPr="00740188">
        <w:rPr>
          <w:i/>
          <w:iCs/>
          <w:noProof/>
          <w:szCs w:val="24"/>
        </w:rPr>
        <w:t>Comput. Educ.</w:t>
      </w:r>
      <w:r w:rsidRPr="00740188">
        <w:rPr>
          <w:noProof/>
          <w:szCs w:val="24"/>
        </w:rPr>
        <w:t>, vol. 149, no. May 2019, p. 103818, 2020, doi: 10.1016/j.compedu.2020.103818.</w:t>
      </w:r>
    </w:p>
    <w:p w14:paraId="68B16AFA"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[17]</w:t>
      </w:r>
      <w:r w:rsidRPr="00740188">
        <w:rPr>
          <w:noProof/>
          <w:szCs w:val="24"/>
        </w:rPr>
        <w:tab/>
        <w:t xml:space="preserve">D. Orhan Göksün and G. Gürsoy, “Comparing success and engagement in gamified learning experiences via Kahoot and Quizizz,” </w:t>
      </w:r>
      <w:r w:rsidRPr="00740188">
        <w:rPr>
          <w:i/>
          <w:iCs/>
          <w:noProof/>
          <w:szCs w:val="24"/>
        </w:rPr>
        <w:t>Comput. Educ.</w:t>
      </w:r>
      <w:r w:rsidRPr="00740188">
        <w:rPr>
          <w:noProof/>
          <w:szCs w:val="24"/>
        </w:rPr>
        <w:t>, vol. 135, no. October 2018, pp. 15–29, 2019, doi: 10.1016/j.compedu.2019.02.015.</w:t>
      </w:r>
    </w:p>
    <w:p w14:paraId="7961DA86" w14:textId="702B5C1F" w:rsidR="00740188" w:rsidRDefault="00740188" w:rsidP="00740188">
      <w:pPr>
        <w:widowControl w:val="0"/>
        <w:autoSpaceDE w:val="0"/>
        <w:autoSpaceDN w:val="0"/>
        <w:adjustRightInd w:val="0"/>
        <w:ind w:left="567" w:hanging="567"/>
        <w:jc w:val="both"/>
        <w:rPr>
          <w:noProof/>
          <w:szCs w:val="24"/>
        </w:rPr>
      </w:pPr>
      <w:r w:rsidRPr="00740188">
        <w:rPr>
          <w:noProof/>
          <w:szCs w:val="24"/>
        </w:rPr>
        <w:t>[18]</w:t>
      </w:r>
      <w:r w:rsidRPr="00740188">
        <w:rPr>
          <w:noProof/>
          <w:szCs w:val="24"/>
        </w:rPr>
        <w:tab/>
        <w:t xml:space="preserve">S. M. Jones </w:t>
      </w:r>
      <w:r w:rsidRPr="00740188">
        <w:rPr>
          <w:i/>
          <w:iCs/>
          <w:noProof/>
          <w:szCs w:val="24"/>
        </w:rPr>
        <w:t>et al.</w:t>
      </w:r>
      <w:r w:rsidRPr="00740188">
        <w:rPr>
          <w:noProof/>
          <w:szCs w:val="24"/>
        </w:rPr>
        <w:t xml:space="preserve">, “A ‘KAHOOT!’ Approach: </w:t>
      </w:r>
      <w:r w:rsidR="00625BD0" w:rsidRPr="00740188">
        <w:rPr>
          <w:noProof/>
          <w:szCs w:val="24"/>
        </w:rPr>
        <w:t>the effectiveness of game-based learning for an advanced placement biology class,</w:t>
      </w:r>
      <w:r w:rsidRPr="00740188">
        <w:rPr>
          <w:noProof/>
          <w:szCs w:val="24"/>
        </w:rPr>
        <w:t xml:space="preserve">” </w:t>
      </w:r>
      <w:r w:rsidRPr="00740188">
        <w:rPr>
          <w:i/>
          <w:iCs/>
          <w:noProof/>
          <w:szCs w:val="24"/>
        </w:rPr>
        <w:t>Simul. Gaming</w:t>
      </w:r>
      <w:r w:rsidRPr="00740188">
        <w:rPr>
          <w:noProof/>
          <w:szCs w:val="24"/>
        </w:rPr>
        <w:t>, vol. 50, no. 6, pp. 832–847, 2019, doi: 10.1177/1046878119882048.</w:t>
      </w:r>
    </w:p>
    <w:p w14:paraId="4A79FA89" w14:textId="77777777" w:rsidR="00625BD0" w:rsidRPr="00740188" w:rsidRDefault="00625BD0" w:rsidP="00740188">
      <w:pPr>
        <w:widowControl w:val="0"/>
        <w:autoSpaceDE w:val="0"/>
        <w:autoSpaceDN w:val="0"/>
        <w:adjustRightInd w:val="0"/>
        <w:ind w:left="567" w:hanging="567"/>
        <w:jc w:val="both"/>
        <w:rPr>
          <w:noProof/>
          <w:szCs w:val="24"/>
        </w:rPr>
      </w:pPr>
    </w:p>
    <w:p w14:paraId="3A09417D"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lastRenderedPageBreak/>
        <w:t>[19]</w:t>
      </w:r>
      <w:r w:rsidRPr="00740188">
        <w:rPr>
          <w:noProof/>
          <w:szCs w:val="24"/>
        </w:rPr>
        <w:tab/>
        <w:t xml:space="preserve">S. Brooks, K. Dobbins, J. J. A. Scott, M. Rawlinson, and R. I. Norman, “Learning about learning outcomes: The student perspective,” </w:t>
      </w:r>
      <w:r w:rsidRPr="00740188">
        <w:rPr>
          <w:i/>
          <w:iCs/>
          <w:noProof/>
          <w:szCs w:val="24"/>
        </w:rPr>
        <w:t>Teach. High. Educ.</w:t>
      </w:r>
      <w:r w:rsidRPr="00740188">
        <w:rPr>
          <w:noProof/>
          <w:szCs w:val="24"/>
        </w:rPr>
        <w:t>, vol. 19, no. 6, pp. 721–733, 2014, doi: 10.1080/13562517.2014.901964.</w:t>
      </w:r>
    </w:p>
    <w:p w14:paraId="1022272A" w14:textId="3C55CC92"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[20]</w:t>
      </w:r>
      <w:r w:rsidRPr="00740188">
        <w:rPr>
          <w:noProof/>
          <w:szCs w:val="24"/>
        </w:rPr>
        <w:tab/>
        <w:t xml:space="preserve">K. Dobbins </w:t>
      </w:r>
      <w:r w:rsidRPr="00740188">
        <w:rPr>
          <w:i/>
          <w:iCs/>
          <w:noProof/>
          <w:szCs w:val="24"/>
        </w:rPr>
        <w:t>et al.</w:t>
      </w:r>
      <w:r w:rsidRPr="00740188">
        <w:rPr>
          <w:noProof/>
          <w:szCs w:val="24"/>
        </w:rPr>
        <w:t xml:space="preserve">, “Studies in Higher Education Understanding and enacting learning outcomes : the academic ’ s perspective,” </w:t>
      </w:r>
      <w:r w:rsidR="00440006">
        <w:t>Studies in Higher Education</w:t>
      </w:r>
      <w:r w:rsidR="00440006">
        <w:t xml:space="preserve">., </w:t>
      </w:r>
      <w:r w:rsidR="00440006">
        <w:rPr>
          <w:noProof/>
          <w:szCs w:val="24"/>
        </w:rPr>
        <w:t>vol. 41, no. 7</w:t>
      </w:r>
      <w:r w:rsidRPr="00740188">
        <w:rPr>
          <w:noProof/>
          <w:szCs w:val="24"/>
        </w:rPr>
        <w:t>,</w:t>
      </w:r>
      <w:r w:rsidR="00440006">
        <w:rPr>
          <w:noProof/>
          <w:szCs w:val="24"/>
        </w:rPr>
        <w:t xml:space="preserve"> pp. 1217-1235</w:t>
      </w:r>
      <w:r w:rsidR="00A864D6">
        <w:rPr>
          <w:noProof/>
          <w:szCs w:val="24"/>
        </w:rPr>
        <w:t>,</w:t>
      </w:r>
      <w:r w:rsidRPr="00740188">
        <w:rPr>
          <w:noProof/>
          <w:szCs w:val="24"/>
        </w:rPr>
        <w:t xml:space="preserve"> 2016, doi: 10.1080/03075079.2014.966668.</w:t>
      </w:r>
    </w:p>
    <w:p w14:paraId="09452611"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[21]</w:t>
      </w:r>
      <w:r w:rsidRPr="00740188">
        <w:rPr>
          <w:noProof/>
          <w:szCs w:val="24"/>
        </w:rPr>
        <w:tab/>
        <w:t xml:space="preserve">L. Lassnigg, “‘Lost in translation’: Learning outcomes and the governance of education,” </w:t>
      </w:r>
      <w:r w:rsidRPr="00740188">
        <w:rPr>
          <w:i/>
          <w:iCs/>
          <w:noProof/>
          <w:szCs w:val="24"/>
        </w:rPr>
        <w:t>J. Educ. Work</w:t>
      </w:r>
      <w:r w:rsidRPr="00740188">
        <w:rPr>
          <w:noProof/>
          <w:szCs w:val="24"/>
        </w:rPr>
        <w:t>, vol. 25, no. 3, pp. 299–330, 2012, doi: 10.1080/13639080.2012.687573.</w:t>
      </w:r>
    </w:p>
    <w:p w14:paraId="3CD2094E"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[22]</w:t>
      </w:r>
      <w:r w:rsidRPr="00740188">
        <w:rPr>
          <w:noProof/>
          <w:szCs w:val="24"/>
        </w:rPr>
        <w:tab/>
        <w:t xml:space="preserve">H. Coates, “Assessing student learning outcomes internationally: insights and frontiers,” </w:t>
      </w:r>
      <w:r w:rsidRPr="00740188">
        <w:rPr>
          <w:i/>
          <w:iCs/>
          <w:noProof/>
          <w:szCs w:val="24"/>
        </w:rPr>
        <w:t>Assess. Eval. High. Educ.</w:t>
      </w:r>
      <w:r w:rsidRPr="00740188">
        <w:rPr>
          <w:noProof/>
          <w:szCs w:val="24"/>
        </w:rPr>
        <w:t>, vol. 41, no. 5, pp. 662–676, 2016, doi: 10.1080/02602938.2016.1160273.</w:t>
      </w:r>
    </w:p>
    <w:p w14:paraId="60BBD8D7"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[23]</w:t>
      </w:r>
      <w:r w:rsidRPr="00740188">
        <w:rPr>
          <w:noProof/>
          <w:szCs w:val="24"/>
        </w:rPr>
        <w:tab/>
        <w:t>S. Bohlinger, “Quali fi cations frameworks and learning outcomes : challenges for Europe ’ s lifelong learning area,” vol. 25, no. 3, pp. 279–297, 2012.</w:t>
      </w:r>
    </w:p>
    <w:p w14:paraId="217A9257" w14:textId="0A4A1CF0"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[24]</w:t>
      </w:r>
      <w:r w:rsidRPr="00740188">
        <w:rPr>
          <w:noProof/>
          <w:szCs w:val="24"/>
        </w:rPr>
        <w:tab/>
        <w:t xml:space="preserve">Z. Sun, C. H. Lin, J. You, H. jiao Shen, S. Qi, and L. Luo, “Improving </w:t>
      </w:r>
      <w:r w:rsidR="00A864D6" w:rsidRPr="00740188">
        <w:rPr>
          <w:noProof/>
          <w:szCs w:val="24"/>
        </w:rPr>
        <w:t>the english-speaking skills of young learners through mobile social networking</w:t>
      </w:r>
      <w:r w:rsidRPr="00740188">
        <w:rPr>
          <w:noProof/>
          <w:szCs w:val="24"/>
        </w:rPr>
        <w:t xml:space="preserve">,” </w:t>
      </w:r>
      <w:r w:rsidRPr="00740188">
        <w:rPr>
          <w:i/>
          <w:iCs/>
          <w:noProof/>
          <w:szCs w:val="24"/>
        </w:rPr>
        <w:t>Comput. Assist. Lang. Learn.</w:t>
      </w:r>
      <w:r w:rsidRPr="00740188">
        <w:rPr>
          <w:noProof/>
          <w:szCs w:val="24"/>
        </w:rPr>
        <w:t>, vol. 30, no. 3–4, pp. 304–324, 2017, doi: 10.1080/09588221.2017.1308384.</w:t>
      </w:r>
    </w:p>
    <w:p w14:paraId="764CCC19"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[25]</w:t>
      </w:r>
      <w:r w:rsidRPr="00740188">
        <w:rPr>
          <w:noProof/>
          <w:szCs w:val="24"/>
        </w:rPr>
        <w:tab/>
        <w:t xml:space="preserve">T. Uchihara and J. Clenton, “Investigating the role of vocabulary size in second language speaking ability,” </w:t>
      </w:r>
      <w:r w:rsidRPr="00740188">
        <w:rPr>
          <w:i/>
          <w:iCs/>
          <w:noProof/>
          <w:szCs w:val="24"/>
        </w:rPr>
        <w:t>Lang. Teach. Res.</w:t>
      </w:r>
      <w:r w:rsidRPr="00740188">
        <w:rPr>
          <w:noProof/>
          <w:szCs w:val="24"/>
        </w:rPr>
        <w:t>, vol. 24, no. 4, pp. 540–556, 2020, doi: 10.1177/1362168818799371.</w:t>
      </w:r>
    </w:p>
    <w:p w14:paraId="7B3ED9A2"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[26]</w:t>
      </w:r>
      <w:r w:rsidRPr="00740188">
        <w:rPr>
          <w:noProof/>
          <w:szCs w:val="24"/>
        </w:rPr>
        <w:tab/>
        <w:t xml:space="preserve">H. Guo and M. Pilz, “A comparative study of teaching and learning in German and Chinese vocational education and training schools: A classroom observation study,” </w:t>
      </w:r>
      <w:r w:rsidRPr="00740188">
        <w:rPr>
          <w:i/>
          <w:iCs/>
          <w:noProof/>
          <w:szCs w:val="24"/>
        </w:rPr>
        <w:t>Res. Comp. Int. Educ.</w:t>
      </w:r>
      <w:r w:rsidRPr="00740188">
        <w:rPr>
          <w:noProof/>
          <w:szCs w:val="24"/>
        </w:rPr>
        <w:t>, vol. 15, no. 4, pp. 391–413, 2020, doi: 10.1177/1745499920959150.</w:t>
      </w:r>
    </w:p>
    <w:p w14:paraId="3530141D" w14:textId="6592966B"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[27]</w:t>
      </w:r>
      <w:r w:rsidRPr="00740188">
        <w:rPr>
          <w:noProof/>
          <w:szCs w:val="24"/>
        </w:rPr>
        <w:tab/>
        <w:t xml:space="preserve">C. M. Plump and J. LaRosa, “Using Kahoot! in </w:t>
      </w:r>
      <w:r w:rsidR="00A864D6" w:rsidRPr="00740188">
        <w:rPr>
          <w:noProof/>
          <w:szCs w:val="24"/>
        </w:rPr>
        <w:t>the classroom to create engagement and active learning: a game-based technology solution for elearning novices</w:t>
      </w:r>
      <w:r w:rsidRPr="00740188">
        <w:rPr>
          <w:noProof/>
          <w:szCs w:val="24"/>
        </w:rPr>
        <w:t xml:space="preserve">,” </w:t>
      </w:r>
      <w:r w:rsidRPr="00740188">
        <w:rPr>
          <w:i/>
          <w:iCs/>
          <w:noProof/>
          <w:szCs w:val="24"/>
        </w:rPr>
        <w:t>Manag. Teach. Rev.</w:t>
      </w:r>
      <w:r w:rsidRPr="00740188">
        <w:rPr>
          <w:noProof/>
          <w:szCs w:val="24"/>
        </w:rPr>
        <w:t>, vol. 2, no. 2, pp. 151–158, 2017, doi: 10.1177/2379298116689783.</w:t>
      </w:r>
    </w:p>
    <w:p w14:paraId="1080648B"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[28]</w:t>
      </w:r>
      <w:r w:rsidRPr="00740188">
        <w:rPr>
          <w:noProof/>
          <w:szCs w:val="24"/>
        </w:rPr>
        <w:tab/>
        <w:t xml:space="preserve">P. Bawa, “Using Kahoot to Inspire,” </w:t>
      </w:r>
      <w:r w:rsidRPr="00740188">
        <w:rPr>
          <w:i/>
          <w:iCs/>
          <w:noProof/>
          <w:szCs w:val="24"/>
        </w:rPr>
        <w:t>J. Educ. Technol. Syst.</w:t>
      </w:r>
      <w:r w:rsidRPr="00740188">
        <w:rPr>
          <w:noProof/>
          <w:szCs w:val="24"/>
        </w:rPr>
        <w:t>, vol. 47, no. 3, pp. 373–390, 2019, doi: 10.1177/0047239518804173.</w:t>
      </w:r>
    </w:p>
    <w:p w14:paraId="289DF154"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[29]</w:t>
      </w:r>
      <w:r w:rsidRPr="00740188">
        <w:rPr>
          <w:noProof/>
          <w:szCs w:val="24"/>
        </w:rPr>
        <w:tab/>
        <w:t xml:space="preserve">S. A. Licorish, H. E. Owen, B. Daniel, and J. L. George, “Student perception Kahoot,” </w:t>
      </w:r>
      <w:r w:rsidRPr="00740188">
        <w:rPr>
          <w:i/>
          <w:iCs/>
          <w:noProof/>
          <w:szCs w:val="24"/>
        </w:rPr>
        <w:t>Res. Pract. Technol. Enhanc. Learn.</w:t>
      </w:r>
      <w:r w:rsidRPr="00740188">
        <w:rPr>
          <w:noProof/>
          <w:szCs w:val="24"/>
        </w:rPr>
        <w:t>, vol. 13, no. 9, pp. 1–24, 2018.</w:t>
      </w:r>
    </w:p>
    <w:p w14:paraId="4E3FEC45"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[30]</w:t>
      </w:r>
      <w:r w:rsidRPr="00740188">
        <w:rPr>
          <w:noProof/>
          <w:szCs w:val="24"/>
        </w:rPr>
        <w:tab/>
        <w:t xml:space="preserve">K. E. Cameron and L. A. Bizo, “Use of the game-based learning platform KAHOOT! to facilitate learner engagement in animal science students,” </w:t>
      </w:r>
      <w:r w:rsidRPr="00740188">
        <w:rPr>
          <w:i/>
          <w:iCs/>
          <w:noProof/>
          <w:szCs w:val="24"/>
        </w:rPr>
        <w:t>Res. Learn. Technol.</w:t>
      </w:r>
      <w:r w:rsidRPr="00740188">
        <w:rPr>
          <w:noProof/>
          <w:szCs w:val="24"/>
        </w:rPr>
        <w:t>, vol. 27, no. May, 2019, doi: 10.25304/rlt.v27.2225.</w:t>
      </w:r>
    </w:p>
    <w:p w14:paraId="0557FB38"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[31]</w:t>
      </w:r>
      <w:r w:rsidRPr="00740188">
        <w:rPr>
          <w:noProof/>
          <w:szCs w:val="24"/>
        </w:rPr>
        <w:tab/>
        <w:t xml:space="preserve">N. Sarkar, W. Ford, and C. Manzo, “Engaging digital natives through social learning,” </w:t>
      </w:r>
      <w:r w:rsidRPr="00740188">
        <w:rPr>
          <w:i/>
          <w:iCs/>
          <w:noProof/>
          <w:szCs w:val="24"/>
        </w:rPr>
        <w:t>ICSIT 2017 - 8th Int. Conf. Soc. Inf. Technol. Proc.</w:t>
      </w:r>
      <w:r w:rsidRPr="00740188">
        <w:rPr>
          <w:noProof/>
          <w:szCs w:val="24"/>
        </w:rPr>
        <w:t>, vol. 2017-March, no. 2, pp. 178–182, 2017.</w:t>
      </w:r>
    </w:p>
    <w:p w14:paraId="1B4D5941"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[32]</w:t>
      </w:r>
      <w:r w:rsidRPr="00740188">
        <w:rPr>
          <w:noProof/>
          <w:szCs w:val="24"/>
        </w:rPr>
        <w:tab/>
        <w:t xml:space="preserve">P. Fotaris, T. Mastoras, R. Leinfellner, and Y. Rosunally, “Climbing up the leaderboard: An empirical study of applying gamification techniques to a computer programming class,” </w:t>
      </w:r>
      <w:r w:rsidRPr="00740188">
        <w:rPr>
          <w:i/>
          <w:iCs/>
          <w:noProof/>
          <w:szCs w:val="24"/>
        </w:rPr>
        <w:t>Electron. J. e-Learning</w:t>
      </w:r>
      <w:r w:rsidRPr="00740188">
        <w:rPr>
          <w:noProof/>
          <w:szCs w:val="24"/>
        </w:rPr>
        <w:t>, vol. 14, no. 2, pp. 94–110, 2016.</w:t>
      </w:r>
    </w:p>
    <w:p w14:paraId="0165D827"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[33]</w:t>
      </w:r>
      <w:r w:rsidRPr="00740188">
        <w:rPr>
          <w:noProof/>
          <w:szCs w:val="24"/>
        </w:rPr>
        <w:tab/>
        <w:t xml:space="preserve">B. G. İlter, “How does Technology Affect Language Learning Process at an Early Age?,” </w:t>
      </w:r>
      <w:r w:rsidRPr="00740188">
        <w:rPr>
          <w:i/>
          <w:iCs/>
          <w:noProof/>
          <w:szCs w:val="24"/>
        </w:rPr>
        <w:t>Procedia - Soc. Behav. Sci.</w:t>
      </w:r>
      <w:r w:rsidRPr="00740188">
        <w:rPr>
          <w:noProof/>
          <w:szCs w:val="24"/>
        </w:rPr>
        <w:t>, vol. 199, pp. 311–316, 2015, doi: 10.1016/j.sbspro.2015.07.552.</w:t>
      </w:r>
    </w:p>
    <w:p w14:paraId="3B21F2DC" w14:textId="46FFF3A2"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[34]</w:t>
      </w:r>
      <w:r w:rsidRPr="00740188">
        <w:rPr>
          <w:noProof/>
          <w:szCs w:val="24"/>
        </w:rPr>
        <w:tab/>
        <w:t xml:space="preserve">J. Murciano-Calles, “Use of Kahoot </w:t>
      </w:r>
      <w:r w:rsidR="00A864D6" w:rsidRPr="00740188">
        <w:rPr>
          <w:noProof/>
          <w:szCs w:val="24"/>
        </w:rPr>
        <w:t>for assessment in chemistry education: a comparative study</w:t>
      </w:r>
      <w:r w:rsidRPr="00740188">
        <w:rPr>
          <w:noProof/>
          <w:szCs w:val="24"/>
        </w:rPr>
        <w:t xml:space="preserve">,” </w:t>
      </w:r>
      <w:r w:rsidRPr="00740188">
        <w:rPr>
          <w:i/>
          <w:iCs/>
          <w:noProof/>
          <w:szCs w:val="24"/>
        </w:rPr>
        <w:t>J. Chem. Educ.</w:t>
      </w:r>
      <w:r w:rsidRPr="00740188">
        <w:rPr>
          <w:noProof/>
          <w:szCs w:val="24"/>
        </w:rPr>
        <w:t>, vol. 97, no. 11, pp. 4209–4213, 2020, doi: 10.1021/acs.jchemed.0c00348.</w:t>
      </w:r>
    </w:p>
    <w:p w14:paraId="206EBF96"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[35]</w:t>
      </w:r>
      <w:r w:rsidRPr="00740188">
        <w:rPr>
          <w:noProof/>
          <w:szCs w:val="24"/>
        </w:rPr>
        <w:tab/>
        <w:t xml:space="preserve">M. Stoyanova, D. Tuparova, and K. Samardzhiev, “Impact of motivation, gamification and learning style on students’ interest in maths classes – a study in 11 high school grade,” </w:t>
      </w:r>
      <w:r w:rsidRPr="00740188">
        <w:rPr>
          <w:i/>
          <w:iCs/>
          <w:noProof/>
          <w:szCs w:val="24"/>
        </w:rPr>
        <w:t>Adv. Intell. Syst. Comput.</w:t>
      </w:r>
      <w:r w:rsidRPr="00740188">
        <w:rPr>
          <w:noProof/>
          <w:szCs w:val="24"/>
        </w:rPr>
        <w:t>, vol. 716, pp. 133–142, 2018, doi: 10.1007/978-3-319-73204-6_17.</w:t>
      </w:r>
    </w:p>
    <w:p w14:paraId="53B89E61" w14:textId="41B89D91"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[36]</w:t>
      </w:r>
      <w:r w:rsidRPr="00740188">
        <w:rPr>
          <w:noProof/>
          <w:szCs w:val="24"/>
        </w:rPr>
        <w:tab/>
        <w:t xml:space="preserve">C. C. Lee, Y. Hao, K. S. Lee, S. C. Sim, and C. C. Huang, </w:t>
      </w:r>
      <w:r w:rsidRPr="00BF0643">
        <w:rPr>
          <w:iCs/>
          <w:noProof/>
          <w:szCs w:val="24"/>
        </w:rPr>
        <w:t>Investigation of the effects of an online instant response system on students in a middle school of a rural area</w:t>
      </w:r>
      <w:r w:rsidRPr="00BF0643">
        <w:rPr>
          <w:noProof/>
          <w:szCs w:val="24"/>
        </w:rPr>
        <w:t>,</w:t>
      </w:r>
      <w:r w:rsidR="00BF0643" w:rsidRPr="00BF0643">
        <w:rPr>
          <w:noProof/>
          <w:szCs w:val="24"/>
        </w:rPr>
        <w:t xml:space="preserve"> </w:t>
      </w:r>
      <w:r w:rsidR="00BF0643" w:rsidRPr="00740188">
        <w:rPr>
          <w:noProof/>
          <w:szCs w:val="24"/>
        </w:rPr>
        <w:t>”</w:t>
      </w:r>
      <w:r w:rsidRPr="00740188">
        <w:rPr>
          <w:noProof/>
          <w:szCs w:val="24"/>
        </w:rPr>
        <w:t xml:space="preserve"> </w:t>
      </w:r>
      <w:r w:rsidR="00BF0643">
        <w:t xml:space="preserve">Computers in Human </w:t>
      </w:r>
      <w:proofErr w:type="spellStart"/>
      <w:r w:rsidR="00BF0643">
        <w:t>Behavior</w:t>
      </w:r>
      <w:r w:rsidR="00BF0643">
        <w:rPr>
          <w:noProof/>
          <w:szCs w:val="24"/>
        </w:rPr>
        <w:t>vol</w:t>
      </w:r>
      <w:proofErr w:type="spellEnd"/>
      <w:r w:rsidR="00BF0643">
        <w:rPr>
          <w:noProof/>
          <w:szCs w:val="24"/>
        </w:rPr>
        <w:t>., Vol. 97, pp</w:t>
      </w:r>
      <w:r w:rsidRPr="00740188">
        <w:rPr>
          <w:noProof/>
          <w:szCs w:val="24"/>
        </w:rPr>
        <w:t>.</w:t>
      </w:r>
      <w:r w:rsidR="00BF0643">
        <w:rPr>
          <w:noProof/>
          <w:szCs w:val="24"/>
        </w:rPr>
        <w:t xml:space="preserve"> 217-223</w:t>
      </w:r>
      <w:r w:rsidRPr="00740188">
        <w:rPr>
          <w:noProof/>
          <w:szCs w:val="24"/>
        </w:rPr>
        <w:t>, 2019.</w:t>
      </w:r>
      <w:r w:rsidR="00BF0643" w:rsidRPr="00BF0643">
        <w:t xml:space="preserve"> </w:t>
      </w:r>
      <w:proofErr w:type="spellStart"/>
      <w:proofErr w:type="gramStart"/>
      <w:r w:rsidR="00BF0643" w:rsidRPr="00BF0643">
        <w:rPr>
          <w:color w:val="000000" w:themeColor="text1"/>
        </w:rPr>
        <w:t>doi</w:t>
      </w:r>
      <w:proofErr w:type="spellEnd"/>
      <w:proofErr w:type="gramEnd"/>
      <w:r w:rsidR="00BF0643" w:rsidRPr="00BF0643">
        <w:rPr>
          <w:color w:val="000000" w:themeColor="text1"/>
        </w:rPr>
        <w:t>:</w:t>
      </w:r>
      <w:hyperlink r:id="rId13" w:tgtFrame="_blank" w:tooltip="Persistent link using digital object identifier" w:history="1">
        <w:r w:rsidR="00BF0643" w:rsidRPr="00BF0643">
          <w:rPr>
            <w:rStyle w:val="Hyperlink"/>
            <w:color w:val="000000" w:themeColor="text1"/>
            <w:u w:val="none"/>
          </w:rPr>
          <w:t>10.1016/j.chb.2018.11.034</w:t>
        </w:r>
      </w:hyperlink>
    </w:p>
    <w:p w14:paraId="6CA0D49D"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[37]</w:t>
      </w:r>
      <w:r w:rsidRPr="00740188">
        <w:rPr>
          <w:noProof/>
          <w:szCs w:val="24"/>
        </w:rPr>
        <w:tab/>
        <w:t xml:space="preserve">M. C. Prieto, L. O. Palma, P. J. B. Tobías, and F. J. M. León, “Student assessment of the use of kahoot in the learning process of science and mathematics,” </w:t>
      </w:r>
      <w:r w:rsidRPr="00740188">
        <w:rPr>
          <w:i/>
          <w:iCs/>
          <w:noProof/>
          <w:szCs w:val="24"/>
        </w:rPr>
        <w:t>Educ. Sci.</w:t>
      </w:r>
      <w:r w:rsidRPr="00740188">
        <w:rPr>
          <w:noProof/>
          <w:szCs w:val="24"/>
        </w:rPr>
        <w:t>, vol. 9, no. 1, 2019, doi: 10.3390/educsci9010055.</w:t>
      </w:r>
    </w:p>
    <w:p w14:paraId="71098205"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[38]</w:t>
      </w:r>
      <w:r w:rsidRPr="00740188">
        <w:rPr>
          <w:noProof/>
          <w:szCs w:val="24"/>
        </w:rPr>
        <w:tab/>
        <w:t xml:space="preserve">C. G. Ruiz, “The effect of integrating Kahoot! and peer instruction in the Spanish flipped classroom: the student perspective,” </w:t>
      </w:r>
      <w:r w:rsidRPr="00740188">
        <w:rPr>
          <w:i/>
          <w:iCs/>
          <w:noProof/>
          <w:szCs w:val="24"/>
        </w:rPr>
        <w:t>J. Spanish Lang. Teach.</w:t>
      </w:r>
      <w:r w:rsidRPr="00740188">
        <w:rPr>
          <w:noProof/>
          <w:szCs w:val="24"/>
        </w:rPr>
        <w:t>, vol. 8, no. 1, pp. 63–78, 2021, doi: 10.1080/23247797.2021.1913832.</w:t>
      </w:r>
    </w:p>
    <w:p w14:paraId="14CDE4BE"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[39]</w:t>
      </w:r>
      <w:r w:rsidRPr="00740188">
        <w:rPr>
          <w:noProof/>
          <w:szCs w:val="24"/>
        </w:rPr>
        <w:tab/>
        <w:t xml:space="preserve">H. T. Hung, “Clickers in the flipped classroom: bring your own device (BYOD) to promote student learning,” </w:t>
      </w:r>
      <w:r w:rsidRPr="00740188">
        <w:rPr>
          <w:i/>
          <w:iCs/>
          <w:noProof/>
          <w:szCs w:val="24"/>
        </w:rPr>
        <w:t>Interact. Learn. Environ.</w:t>
      </w:r>
      <w:r w:rsidRPr="00740188">
        <w:rPr>
          <w:noProof/>
          <w:szCs w:val="24"/>
        </w:rPr>
        <w:t>, vol. 25, no. 8, pp. 983–995, 2017, doi: 10.1080/10494820.2016.1240090.</w:t>
      </w:r>
    </w:p>
    <w:p w14:paraId="39CD084B"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[40]</w:t>
      </w:r>
      <w:r w:rsidRPr="00740188">
        <w:rPr>
          <w:noProof/>
          <w:szCs w:val="24"/>
        </w:rPr>
        <w:tab/>
        <w:t xml:space="preserve">H. N. Mok, “Teaching tip: The flipped classroom,” </w:t>
      </w:r>
      <w:r w:rsidRPr="00740188">
        <w:rPr>
          <w:i/>
          <w:iCs/>
          <w:noProof/>
          <w:szCs w:val="24"/>
        </w:rPr>
        <w:t>J. Inf. Syst. Educ.</w:t>
      </w:r>
      <w:r w:rsidRPr="00740188">
        <w:rPr>
          <w:noProof/>
          <w:szCs w:val="24"/>
        </w:rPr>
        <w:t>, vol. 25, no. 1, pp. 7–11, 2014.</w:t>
      </w:r>
    </w:p>
    <w:p w14:paraId="09C3F2BA" w14:textId="77777777" w:rsidR="00740188" w:rsidRDefault="00740188" w:rsidP="00740188">
      <w:pPr>
        <w:widowControl w:val="0"/>
        <w:autoSpaceDE w:val="0"/>
        <w:autoSpaceDN w:val="0"/>
        <w:adjustRightInd w:val="0"/>
        <w:ind w:left="567" w:hanging="567"/>
        <w:jc w:val="both"/>
        <w:rPr>
          <w:noProof/>
          <w:szCs w:val="24"/>
        </w:rPr>
      </w:pPr>
      <w:r w:rsidRPr="00740188">
        <w:rPr>
          <w:noProof/>
          <w:szCs w:val="24"/>
        </w:rPr>
        <w:t>[41]</w:t>
      </w:r>
      <w:r w:rsidRPr="00740188">
        <w:rPr>
          <w:noProof/>
          <w:szCs w:val="24"/>
        </w:rPr>
        <w:tab/>
        <w:t xml:space="preserve">M. Esteves, A. Pereira, N. Veiga, R. Vasco, and A. Veiga, “The Use of New Learning Technologies in Higher Education Classroom: A Case Study,” </w:t>
      </w:r>
      <w:r w:rsidRPr="00740188">
        <w:rPr>
          <w:i/>
          <w:iCs/>
          <w:noProof/>
          <w:szCs w:val="24"/>
        </w:rPr>
        <w:t>Adv. Intell. Syst. Comput.</w:t>
      </w:r>
      <w:r w:rsidRPr="00740188">
        <w:rPr>
          <w:noProof/>
          <w:szCs w:val="24"/>
        </w:rPr>
        <w:t>, vol. 715, no. 2, pp. 499–506, 2018, doi: 10.1007/978-3-319-73210-7_59.</w:t>
      </w:r>
    </w:p>
    <w:p w14:paraId="2F5A3966" w14:textId="77777777" w:rsidR="00717B44" w:rsidRPr="00740188" w:rsidRDefault="00717B44" w:rsidP="00740188">
      <w:pPr>
        <w:widowControl w:val="0"/>
        <w:autoSpaceDE w:val="0"/>
        <w:autoSpaceDN w:val="0"/>
        <w:adjustRightInd w:val="0"/>
        <w:ind w:left="567" w:hanging="567"/>
        <w:jc w:val="both"/>
        <w:rPr>
          <w:noProof/>
          <w:szCs w:val="24"/>
        </w:rPr>
      </w:pPr>
    </w:p>
    <w:p w14:paraId="3D437601" w14:textId="40B7684A"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lastRenderedPageBreak/>
        <w:t>[42]</w:t>
      </w:r>
      <w:r w:rsidRPr="00740188">
        <w:rPr>
          <w:noProof/>
          <w:szCs w:val="24"/>
        </w:rPr>
        <w:tab/>
        <w:t xml:space="preserve">I. N. Asniza, M. O. S. Zuraidah, A. R. M. Baharuddin, Z. M. Zuhair, and Y. Nooraıda, “Online </w:t>
      </w:r>
      <w:bookmarkStart w:id="0" w:name="_GoBack"/>
      <w:r w:rsidR="00717B44" w:rsidRPr="00740188">
        <w:rPr>
          <w:noProof/>
          <w:szCs w:val="24"/>
        </w:rPr>
        <w:t>game-based learning using kahoot! to enhance pre-university students’ active learning: a students’ perception in biology classroom,</w:t>
      </w:r>
      <w:bookmarkEnd w:id="0"/>
      <w:r w:rsidRPr="00740188">
        <w:rPr>
          <w:noProof/>
          <w:szCs w:val="24"/>
        </w:rPr>
        <w:t xml:space="preserve">” </w:t>
      </w:r>
      <w:r w:rsidRPr="00740188">
        <w:rPr>
          <w:i/>
          <w:iCs/>
          <w:noProof/>
          <w:szCs w:val="24"/>
        </w:rPr>
        <w:t>J. Turkish Sci. Educ.</w:t>
      </w:r>
      <w:r w:rsidRPr="00740188">
        <w:rPr>
          <w:noProof/>
          <w:szCs w:val="24"/>
        </w:rPr>
        <w:t>, vol. 18, no. 1, pp. 145–160, 2021, doi: 10.36681/tused.2021.57.</w:t>
      </w:r>
    </w:p>
    <w:p w14:paraId="6012D330"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[43]</w:t>
      </w:r>
      <w:r w:rsidRPr="00740188">
        <w:rPr>
          <w:noProof/>
          <w:szCs w:val="24"/>
        </w:rPr>
        <w:tab/>
        <w:t xml:space="preserve">F. A. A. Elkhamisy and R. M. Wassef, “Innovating pathology learning via Kahoot! game-based tool: a quantitative study of students` perceptions and academic performance,” </w:t>
      </w:r>
      <w:r w:rsidRPr="00740188">
        <w:rPr>
          <w:i/>
          <w:iCs/>
          <w:noProof/>
          <w:szCs w:val="24"/>
        </w:rPr>
        <w:t>Alexandria J. Med.</w:t>
      </w:r>
      <w:r w:rsidRPr="00740188">
        <w:rPr>
          <w:noProof/>
          <w:szCs w:val="24"/>
        </w:rPr>
        <w:t>, vol. 57, no. 1, pp. 215–223, 2021, doi: 10.1080/20905068.2021.1954413.</w:t>
      </w:r>
    </w:p>
    <w:p w14:paraId="4D3CB593"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[44]</w:t>
      </w:r>
      <w:r w:rsidRPr="00740188">
        <w:rPr>
          <w:noProof/>
          <w:szCs w:val="24"/>
        </w:rPr>
        <w:tab/>
        <w:t xml:space="preserve">S. Ebadi, R. Rasouli, and M. Mohamadi, “Exploring EFL learners’ perspectives on using Kahoot as a game-based student response system,” </w:t>
      </w:r>
      <w:r w:rsidRPr="00740188">
        <w:rPr>
          <w:i/>
          <w:iCs/>
          <w:noProof/>
          <w:szCs w:val="24"/>
        </w:rPr>
        <w:t>Interact. Learn. Environ.</w:t>
      </w:r>
      <w:r w:rsidRPr="00740188">
        <w:rPr>
          <w:noProof/>
          <w:szCs w:val="24"/>
        </w:rPr>
        <w:t>, vol. 0, no. 0, pp. 1–13, 2021, doi: 10.1080/10494820.2021.1881798.</w:t>
      </w:r>
    </w:p>
    <w:p w14:paraId="2D0E99C7" w14:textId="77777777" w:rsidR="00740188" w:rsidRPr="00740188" w:rsidRDefault="00740188" w:rsidP="00740188">
      <w:pPr>
        <w:widowControl w:val="0"/>
        <w:autoSpaceDE w:val="0"/>
        <w:autoSpaceDN w:val="0"/>
        <w:adjustRightInd w:val="0"/>
        <w:ind w:left="567" w:hanging="567"/>
        <w:jc w:val="both"/>
        <w:rPr>
          <w:noProof/>
          <w:szCs w:val="24"/>
        </w:rPr>
      </w:pPr>
      <w:r w:rsidRPr="00740188">
        <w:rPr>
          <w:noProof/>
          <w:szCs w:val="24"/>
        </w:rPr>
        <w:t>[45]</w:t>
      </w:r>
      <w:r w:rsidRPr="00740188">
        <w:rPr>
          <w:noProof/>
          <w:szCs w:val="24"/>
        </w:rPr>
        <w:tab/>
        <w:t xml:space="preserve">Á. Tóth, P. Lógó, and E. Lógó, “The effect of the kahoot quiz on the student’s results in the exam,” </w:t>
      </w:r>
      <w:r w:rsidRPr="00740188">
        <w:rPr>
          <w:i/>
          <w:iCs/>
          <w:noProof/>
          <w:szCs w:val="24"/>
        </w:rPr>
        <w:t>Period. Polytech. Soc. Manag. Sci.</w:t>
      </w:r>
      <w:r w:rsidRPr="00740188">
        <w:rPr>
          <w:noProof/>
          <w:szCs w:val="24"/>
        </w:rPr>
        <w:t>, vol. 27, no. 2, pp. 173–179, 2019, doi: 10.3311/PPso.12464.</w:t>
      </w:r>
    </w:p>
    <w:p w14:paraId="242E24D0" w14:textId="77777777" w:rsidR="00740188" w:rsidRPr="00740188" w:rsidRDefault="00740188" w:rsidP="00740188">
      <w:pPr>
        <w:widowControl w:val="0"/>
        <w:autoSpaceDE w:val="0"/>
        <w:autoSpaceDN w:val="0"/>
        <w:adjustRightInd w:val="0"/>
        <w:ind w:left="567" w:hanging="567"/>
        <w:jc w:val="both"/>
        <w:rPr>
          <w:noProof/>
        </w:rPr>
      </w:pPr>
      <w:r w:rsidRPr="00740188">
        <w:rPr>
          <w:noProof/>
          <w:szCs w:val="24"/>
        </w:rPr>
        <w:t>[46]</w:t>
      </w:r>
      <w:r w:rsidRPr="00740188">
        <w:rPr>
          <w:noProof/>
          <w:szCs w:val="24"/>
        </w:rPr>
        <w:tab/>
        <w:t xml:space="preserve">S. Pfirman, L. Hamilton, M. Turrin, C. Narveson, and C. A. Lloyd, “Polar knowledge of US students as indicated by an online Kahoot! quiz game,” </w:t>
      </w:r>
      <w:r w:rsidRPr="00740188">
        <w:rPr>
          <w:i/>
          <w:iCs/>
          <w:noProof/>
          <w:szCs w:val="24"/>
        </w:rPr>
        <w:t>J. Geosci. Educ.</w:t>
      </w:r>
      <w:r w:rsidRPr="00740188">
        <w:rPr>
          <w:noProof/>
          <w:szCs w:val="24"/>
        </w:rPr>
        <w:t>, vol. 69, no. 2, pp. 150–165, 2021, doi: 10.1080/10899995.2021.1877526.</w:t>
      </w:r>
    </w:p>
    <w:p w14:paraId="7646800F" w14:textId="5F817A1C" w:rsidR="00916DDA" w:rsidRDefault="00740188" w:rsidP="00740188">
      <w:pPr>
        <w:ind w:left="567" w:hanging="567"/>
        <w:jc w:val="both"/>
        <w:rPr>
          <w:color w:val="000000"/>
          <w:lang w:val="pt-BR"/>
        </w:rPr>
      </w:pPr>
      <w:r>
        <w:rPr>
          <w:color w:val="000000"/>
          <w:lang w:val="pt-BR"/>
        </w:rPr>
        <w:fldChar w:fldCharType="end"/>
      </w:r>
    </w:p>
    <w:sectPr w:rsidR="00916DDA" w:rsidSect="001A7D56">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FDB7" w14:textId="77777777" w:rsidR="001B6357" w:rsidRDefault="001B6357">
      <w:r>
        <w:separator/>
      </w:r>
    </w:p>
  </w:endnote>
  <w:endnote w:type="continuationSeparator" w:id="0">
    <w:p w14:paraId="25647700" w14:textId="77777777" w:rsidR="001B6357" w:rsidRDefault="001B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BE83" w14:textId="33CA033F" w:rsidR="00097958" w:rsidRPr="003D5B84" w:rsidRDefault="00F94B8E"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776" behindDoc="0" locked="0" layoutInCell="1" allowOverlap="1" wp14:anchorId="67EE891C" wp14:editId="450ED61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AB5A88"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7522A5" w:rsidRPr="007522A5">
      <w:t>J Edu &amp; Learn</w:t>
    </w:r>
    <w:r w:rsidR="003D3062">
      <w:t>,</w:t>
    </w:r>
    <w:r w:rsidR="007522A5">
      <w:t xml:space="preserve"> </w:t>
    </w:r>
    <w:r w:rsidR="00097958" w:rsidRPr="003D5B84">
      <w:t xml:space="preserve">Vol. </w:t>
    </w:r>
    <w:r w:rsidR="00F71BBB">
      <w:t>13</w:t>
    </w:r>
    <w:r w:rsidR="00097958" w:rsidRPr="003D5B84">
      <w:t xml:space="preserve">, No. </w:t>
    </w:r>
    <w:r w:rsidR="00F71BBB">
      <w:t>1</w:t>
    </w:r>
    <w:r w:rsidR="00097958" w:rsidRPr="003D5B84">
      <w:t xml:space="preserve">, </w:t>
    </w:r>
    <w:r w:rsidR="002A3F1B">
      <w:t>May</w:t>
    </w:r>
    <w:r w:rsidR="00F71BBB">
      <w:t xml:space="preserve"> </w:t>
    </w:r>
    <w:proofErr w:type="gramStart"/>
    <w:r w:rsidR="00097958" w:rsidRPr="003D5B84">
      <w:t>20</w:t>
    </w:r>
    <w:r w:rsidR="009E0357">
      <w:t>20</w:t>
    </w:r>
    <w:r w:rsidR="00097958" w:rsidRPr="003D5B84">
      <w:t xml:space="preserve"> :</w:t>
    </w:r>
    <w:proofErr w:type="gramEnd"/>
    <w:r w:rsidR="00097958" w:rsidRPr="003D5B84">
      <w:t xml:space="preserve">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E948" w14:textId="77777777"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3C86" w14:textId="6CC0C88A"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9E0357" w:rsidRPr="009E0357">
      <w:rPr>
        <w:i/>
        <w:szCs w:val="18"/>
      </w:rPr>
      <w:t>http://journal.uad.ac.id/index.php/EduLearn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A0923" w14:textId="77777777" w:rsidR="001B6357" w:rsidRDefault="001B6357">
      <w:r>
        <w:separator/>
      </w:r>
    </w:p>
  </w:footnote>
  <w:footnote w:type="continuationSeparator" w:id="0">
    <w:p w14:paraId="36ADB7BA" w14:textId="77777777" w:rsidR="001B6357" w:rsidRDefault="001B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E646" w14:textId="77777777"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717B44">
      <w:rPr>
        <w:rStyle w:val="PageNumber"/>
        <w:noProof/>
      </w:rPr>
      <w:t>110</w:t>
    </w:r>
    <w:r w:rsidRPr="003D5B84">
      <w:rPr>
        <w:rStyle w:val="PageNumber"/>
      </w:rPr>
      <w:fldChar w:fldCharType="end"/>
    </w:r>
  </w:p>
  <w:p w14:paraId="7733C772" w14:textId="0AF9C34D" w:rsidR="00097958" w:rsidRPr="003D5B84" w:rsidRDefault="00F94B8E"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61824" behindDoc="0" locked="0" layoutInCell="1" allowOverlap="1" wp14:anchorId="039FC25C" wp14:editId="22EFE345">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5B8359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ab/>
    </w:r>
    <w:r w:rsidR="00C854C1">
      <w:sym w:font="Wingdings" w:char="F072"/>
    </w:r>
    <w:r w:rsidR="00097958" w:rsidRPr="003D5B84">
      <w:tab/>
    </w:r>
    <w:r w:rsidR="003D5B84" w:rsidRPr="003D5B84">
      <w:tab/>
    </w:r>
    <w:r w:rsidR="00E5155C" w:rsidRPr="003D5B84">
      <w:t>ISSN</w:t>
    </w:r>
    <w:r w:rsidR="00DC341B">
      <w:t>:</w:t>
    </w:r>
    <w:r w:rsidR="00E5155C" w:rsidRPr="003D5B84">
      <w:t xml:space="preserve"> </w:t>
    </w:r>
    <w:r w:rsidR="001A7D56" w:rsidRPr="001A7D56">
      <w:t>2089-9823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E091" w14:textId="77777777"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717B44">
      <w:rPr>
        <w:rStyle w:val="PageNumber"/>
        <w:noProof/>
      </w:rPr>
      <w:t>109</w:t>
    </w:r>
    <w:r w:rsidRPr="003D5B84">
      <w:rPr>
        <w:rStyle w:val="PageNumber"/>
      </w:rPr>
      <w:fldChar w:fldCharType="end"/>
    </w:r>
  </w:p>
  <w:p w14:paraId="4888ED3F" w14:textId="323746F6" w:rsidR="00097958" w:rsidRPr="003D5B84" w:rsidRDefault="003D3062" w:rsidP="00C07BEF">
    <w:pPr>
      <w:pStyle w:val="Header"/>
      <w:pBdr>
        <w:bottom w:val="single" w:sz="4" w:space="1" w:color="auto"/>
      </w:pBdr>
      <w:tabs>
        <w:tab w:val="clear" w:pos="4320"/>
        <w:tab w:val="clear" w:pos="8640"/>
        <w:tab w:val="left" w:pos="0"/>
        <w:tab w:val="center" w:pos="4301"/>
        <w:tab w:val="left" w:pos="7938"/>
      </w:tabs>
    </w:pPr>
    <w:r>
      <w:t>J Edu &amp; Learn</w:t>
    </w:r>
    <w:r w:rsidR="00097958" w:rsidRPr="003D5B84">
      <w:tab/>
      <w:t xml:space="preserve">ISSN: </w:t>
    </w:r>
    <w:r w:rsidR="00E75C2E" w:rsidRPr="001A7D56">
      <w:t>2089-9823</w:t>
    </w:r>
    <w:r w:rsidR="00EF1185" w:rsidRPr="003D5B84">
      <w:tab/>
    </w:r>
    <w:r w:rsidR="00C854C1">
      <w:sym w:font="Wingdings" w:char="F072"/>
    </w:r>
  </w:p>
  <w:p w14:paraId="48026A2B"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72B2" w14:textId="77777777" w:rsidR="00E861C6" w:rsidRPr="00E861C6" w:rsidRDefault="001A7D56" w:rsidP="00E861C6">
    <w:pPr>
      <w:pStyle w:val="Header"/>
      <w:tabs>
        <w:tab w:val="clear" w:pos="4320"/>
        <w:tab w:val="clear" w:pos="8640"/>
      </w:tabs>
      <w:ind w:right="45"/>
      <w:rPr>
        <w:b/>
      </w:rPr>
    </w:pPr>
    <w:r w:rsidRPr="001A7D56">
      <w:rPr>
        <w:b/>
      </w:rPr>
      <w:t>Journal of Education and Learning (</w:t>
    </w:r>
    <w:proofErr w:type="spellStart"/>
    <w:r w:rsidRPr="001A7D56">
      <w:rPr>
        <w:b/>
      </w:rPr>
      <w:t>EduLearn</w:t>
    </w:r>
    <w:proofErr w:type="spellEnd"/>
    <w:r w:rsidRPr="001A7D56">
      <w:rPr>
        <w:b/>
      </w:rPr>
      <w:t>)</w:t>
    </w:r>
  </w:p>
  <w:p w14:paraId="5D2CD90D" w14:textId="6E1AB0A9" w:rsidR="002F6BBA" w:rsidRPr="003D5B84" w:rsidRDefault="002F6BBA" w:rsidP="008B04B3">
    <w:pPr>
      <w:pStyle w:val="Header"/>
      <w:tabs>
        <w:tab w:val="clear" w:pos="4320"/>
        <w:tab w:val="clear" w:pos="8640"/>
      </w:tabs>
      <w:ind w:right="45"/>
    </w:pPr>
    <w:r w:rsidRPr="003D5B84">
      <w:t>Vol.</w:t>
    </w:r>
    <w:r w:rsidR="00AD493F">
      <w:t xml:space="preserve"> 13</w:t>
    </w:r>
    <w:r w:rsidRPr="003D5B84">
      <w:t>, No.</w:t>
    </w:r>
    <w:r w:rsidR="00AD493F">
      <w:t xml:space="preserve"> </w:t>
    </w:r>
    <w:r w:rsidR="00F913D6">
      <w:t>2</w:t>
    </w:r>
    <w:r w:rsidRPr="003D5B84">
      <w:t xml:space="preserve">, </w:t>
    </w:r>
    <w:r w:rsidR="00F913D6">
      <w:t>May</w:t>
    </w:r>
    <w:r w:rsidR="00E861C6">
      <w:t xml:space="preserve"> </w:t>
    </w:r>
    <w:r w:rsidR="00CF68C9">
      <w:t>2020</w:t>
    </w:r>
    <w:r w:rsidR="0075769A" w:rsidRPr="003D5B84">
      <w:t xml:space="preserve">, pp. </w:t>
    </w:r>
    <w:proofErr w:type="spellStart"/>
    <w:r w:rsidR="008B060F" w:rsidRPr="003D5B84">
      <w:t>xx~</w:t>
    </w:r>
    <w:r w:rsidR="007F2C82" w:rsidRPr="003D5B84">
      <w:t>xx</w:t>
    </w:r>
    <w:proofErr w:type="spellEnd"/>
  </w:p>
  <w:p w14:paraId="1C8F9F04" w14:textId="0D913C81"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1A7D56" w:rsidRPr="001A7D56">
      <w:t>2089-9823</w:t>
    </w:r>
    <w:r w:rsidR="008C5058">
      <w:t xml:space="preserve"> </w:t>
    </w:r>
    <w:r w:rsidR="008C5058" w:rsidRPr="008C5058">
      <w:t>DOI: 10.11591/edulearn.v1</w:t>
    </w:r>
    <w:r w:rsidR="00F913D6">
      <w:t>3</w:t>
    </w:r>
    <w:r w:rsidR="008C5058" w:rsidRPr="008C5058">
      <w:t>i</w:t>
    </w:r>
    <w:r w:rsidR="00F913D6">
      <w:t>2</w:t>
    </w:r>
    <w:r w:rsidR="008C5058" w:rsidRPr="008C5058">
      <w:t>.</w:t>
    </w:r>
    <w:r w:rsidR="008C5058">
      <w:t>xxxx</w:t>
    </w:r>
    <w:r w:rsidR="008B060F" w:rsidRPr="003D5B84">
      <w:tab/>
    </w:r>
    <w:r w:rsidR="00C854C1">
      <w:sym w:font="Wingdings" w:char="F072"/>
    </w:r>
    <w:r w:rsidR="00E5155C" w:rsidRPr="003D5B84">
      <w:tab/>
    </w:r>
    <w:r w:rsidR="00EB5D17" w:rsidRPr="003D5B84">
      <w:rPr>
        <w:rStyle w:val="PageNumber"/>
      </w:rPr>
      <w:fldChar w:fldCharType="begin"/>
    </w:r>
    <w:r w:rsidR="00097958" w:rsidRPr="003D5B84">
      <w:rPr>
        <w:rStyle w:val="PageNumber"/>
      </w:rPr>
      <w:instrText xml:space="preserve"> PAGE </w:instrText>
    </w:r>
    <w:r w:rsidR="00EB5D17" w:rsidRPr="003D5B84">
      <w:rPr>
        <w:rStyle w:val="PageNumber"/>
      </w:rPr>
      <w:fldChar w:fldCharType="separate"/>
    </w:r>
    <w:r w:rsidR="003E33F2">
      <w:rPr>
        <w:rStyle w:val="PageNumber"/>
        <w:noProof/>
      </w:rPr>
      <w:t>101</w:t>
    </w:r>
    <w:r w:rsidR="00EB5D17" w:rsidRPr="003D5B84">
      <w:rPr>
        <w:rStyle w:val="PageNumber"/>
      </w:rPr>
      <w:fldChar w:fldCharType="end"/>
    </w:r>
  </w:p>
  <w:p w14:paraId="4CD42762" w14:textId="77777777" w:rsidR="00097958" w:rsidRPr="003D5B84" w:rsidRDefault="00F94B8E"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7456" behindDoc="0" locked="0" layoutInCell="1" allowOverlap="1" wp14:anchorId="6538A8F7" wp14:editId="49B6FFCB">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2072E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multilevel"/>
    <w:tmpl w:val="9216ECBE"/>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015"/>
    <w:rsid w:val="0001738A"/>
    <w:rsid w:val="00017858"/>
    <w:rsid w:val="00027142"/>
    <w:rsid w:val="000279BE"/>
    <w:rsid w:val="00034C84"/>
    <w:rsid w:val="00041670"/>
    <w:rsid w:val="000416A3"/>
    <w:rsid w:val="000437AE"/>
    <w:rsid w:val="00044C49"/>
    <w:rsid w:val="0004541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6A15"/>
    <w:rsid w:val="000A7ACA"/>
    <w:rsid w:val="000B0641"/>
    <w:rsid w:val="000B1F22"/>
    <w:rsid w:val="000B5480"/>
    <w:rsid w:val="000B682B"/>
    <w:rsid w:val="000C03DA"/>
    <w:rsid w:val="000C4B17"/>
    <w:rsid w:val="000C5512"/>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58C1"/>
    <w:rsid w:val="000E708C"/>
    <w:rsid w:val="000F0B67"/>
    <w:rsid w:val="000F279B"/>
    <w:rsid w:val="000F29E1"/>
    <w:rsid w:val="000F61E2"/>
    <w:rsid w:val="000F7C2F"/>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2EF5"/>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6FAD"/>
    <w:rsid w:val="00157C06"/>
    <w:rsid w:val="00161845"/>
    <w:rsid w:val="00162849"/>
    <w:rsid w:val="0016440A"/>
    <w:rsid w:val="00166432"/>
    <w:rsid w:val="00167012"/>
    <w:rsid w:val="001671A8"/>
    <w:rsid w:val="0016761A"/>
    <w:rsid w:val="00167BE2"/>
    <w:rsid w:val="0017238E"/>
    <w:rsid w:val="00177E2C"/>
    <w:rsid w:val="00180992"/>
    <w:rsid w:val="00180FD2"/>
    <w:rsid w:val="00180FD4"/>
    <w:rsid w:val="00181509"/>
    <w:rsid w:val="00181965"/>
    <w:rsid w:val="001837E5"/>
    <w:rsid w:val="00185202"/>
    <w:rsid w:val="00187B69"/>
    <w:rsid w:val="0019050C"/>
    <w:rsid w:val="0019140F"/>
    <w:rsid w:val="00192E8C"/>
    <w:rsid w:val="0019391D"/>
    <w:rsid w:val="00195579"/>
    <w:rsid w:val="001A0839"/>
    <w:rsid w:val="001A33EF"/>
    <w:rsid w:val="001A3EEC"/>
    <w:rsid w:val="001A7D56"/>
    <w:rsid w:val="001B2439"/>
    <w:rsid w:val="001B2EF9"/>
    <w:rsid w:val="001B4AB3"/>
    <w:rsid w:val="001B5250"/>
    <w:rsid w:val="001B5719"/>
    <w:rsid w:val="001B621C"/>
    <w:rsid w:val="001B6357"/>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CA9"/>
    <w:rsid w:val="001F6FB1"/>
    <w:rsid w:val="00204431"/>
    <w:rsid w:val="0020464A"/>
    <w:rsid w:val="00204A25"/>
    <w:rsid w:val="0020608E"/>
    <w:rsid w:val="002073B6"/>
    <w:rsid w:val="002076CA"/>
    <w:rsid w:val="002079DD"/>
    <w:rsid w:val="00211BDC"/>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2F2B"/>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D54"/>
    <w:rsid w:val="00281882"/>
    <w:rsid w:val="00281D99"/>
    <w:rsid w:val="002821B9"/>
    <w:rsid w:val="00282411"/>
    <w:rsid w:val="0028450D"/>
    <w:rsid w:val="00286612"/>
    <w:rsid w:val="00291EBF"/>
    <w:rsid w:val="00296D8E"/>
    <w:rsid w:val="00297002"/>
    <w:rsid w:val="002A0772"/>
    <w:rsid w:val="002A3F1B"/>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5D39"/>
    <w:rsid w:val="002F6BBA"/>
    <w:rsid w:val="002F6DFA"/>
    <w:rsid w:val="002F7C5F"/>
    <w:rsid w:val="0030038F"/>
    <w:rsid w:val="00302D7F"/>
    <w:rsid w:val="00305125"/>
    <w:rsid w:val="00306442"/>
    <w:rsid w:val="003069FB"/>
    <w:rsid w:val="00307BE0"/>
    <w:rsid w:val="00312C0C"/>
    <w:rsid w:val="00313AA2"/>
    <w:rsid w:val="003200C9"/>
    <w:rsid w:val="003209C7"/>
    <w:rsid w:val="00320E71"/>
    <w:rsid w:val="0032306D"/>
    <w:rsid w:val="00326170"/>
    <w:rsid w:val="003263E9"/>
    <w:rsid w:val="00326D35"/>
    <w:rsid w:val="00327F9A"/>
    <w:rsid w:val="003310D5"/>
    <w:rsid w:val="00331183"/>
    <w:rsid w:val="00332063"/>
    <w:rsid w:val="00333AB9"/>
    <w:rsid w:val="00333C06"/>
    <w:rsid w:val="0033459B"/>
    <w:rsid w:val="00335A2C"/>
    <w:rsid w:val="00335BE8"/>
    <w:rsid w:val="00337C87"/>
    <w:rsid w:val="0034265F"/>
    <w:rsid w:val="00343A49"/>
    <w:rsid w:val="00346441"/>
    <w:rsid w:val="003475EC"/>
    <w:rsid w:val="0035076B"/>
    <w:rsid w:val="00350FD2"/>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7DC"/>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3062"/>
    <w:rsid w:val="003D5B84"/>
    <w:rsid w:val="003D79CF"/>
    <w:rsid w:val="003E0207"/>
    <w:rsid w:val="003E304D"/>
    <w:rsid w:val="003E33F2"/>
    <w:rsid w:val="003E4AA5"/>
    <w:rsid w:val="003F0964"/>
    <w:rsid w:val="003F18A1"/>
    <w:rsid w:val="003F1D93"/>
    <w:rsid w:val="003F2EB6"/>
    <w:rsid w:val="003F4897"/>
    <w:rsid w:val="003F6587"/>
    <w:rsid w:val="00402C7D"/>
    <w:rsid w:val="00403A74"/>
    <w:rsid w:val="00407351"/>
    <w:rsid w:val="00407C2D"/>
    <w:rsid w:val="00407F13"/>
    <w:rsid w:val="004106DF"/>
    <w:rsid w:val="00411A71"/>
    <w:rsid w:val="00411C0C"/>
    <w:rsid w:val="0041399A"/>
    <w:rsid w:val="00414535"/>
    <w:rsid w:val="00414EA0"/>
    <w:rsid w:val="00420D64"/>
    <w:rsid w:val="00424E85"/>
    <w:rsid w:val="00425BE9"/>
    <w:rsid w:val="00427072"/>
    <w:rsid w:val="0043585C"/>
    <w:rsid w:val="00440006"/>
    <w:rsid w:val="00441F35"/>
    <w:rsid w:val="00443205"/>
    <w:rsid w:val="004439D2"/>
    <w:rsid w:val="004458CD"/>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31D"/>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5D61"/>
    <w:rsid w:val="004F6193"/>
    <w:rsid w:val="004F6BA1"/>
    <w:rsid w:val="005001B2"/>
    <w:rsid w:val="00501713"/>
    <w:rsid w:val="00505F41"/>
    <w:rsid w:val="0050794C"/>
    <w:rsid w:val="0051075B"/>
    <w:rsid w:val="00511236"/>
    <w:rsid w:val="00511539"/>
    <w:rsid w:val="00512DE0"/>
    <w:rsid w:val="00512EAD"/>
    <w:rsid w:val="0051361F"/>
    <w:rsid w:val="0051421C"/>
    <w:rsid w:val="00515455"/>
    <w:rsid w:val="00516317"/>
    <w:rsid w:val="005174FF"/>
    <w:rsid w:val="00520EC3"/>
    <w:rsid w:val="0052138C"/>
    <w:rsid w:val="005213A1"/>
    <w:rsid w:val="00523362"/>
    <w:rsid w:val="00523B26"/>
    <w:rsid w:val="0052442F"/>
    <w:rsid w:val="00526CFA"/>
    <w:rsid w:val="00530CAF"/>
    <w:rsid w:val="0053172B"/>
    <w:rsid w:val="00531A61"/>
    <w:rsid w:val="00532941"/>
    <w:rsid w:val="00535A39"/>
    <w:rsid w:val="005373E3"/>
    <w:rsid w:val="00537BEA"/>
    <w:rsid w:val="00540DCE"/>
    <w:rsid w:val="00540DD7"/>
    <w:rsid w:val="00541F86"/>
    <w:rsid w:val="00541FCB"/>
    <w:rsid w:val="0054283A"/>
    <w:rsid w:val="00545E9C"/>
    <w:rsid w:val="00546195"/>
    <w:rsid w:val="00547658"/>
    <w:rsid w:val="0054768C"/>
    <w:rsid w:val="0055649A"/>
    <w:rsid w:val="00556FCA"/>
    <w:rsid w:val="00563102"/>
    <w:rsid w:val="00572013"/>
    <w:rsid w:val="00573257"/>
    <w:rsid w:val="0057739C"/>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04D"/>
    <w:rsid w:val="005A1AD0"/>
    <w:rsid w:val="005A2361"/>
    <w:rsid w:val="005A24ED"/>
    <w:rsid w:val="005A2573"/>
    <w:rsid w:val="005A4783"/>
    <w:rsid w:val="005A6B87"/>
    <w:rsid w:val="005B0825"/>
    <w:rsid w:val="005B0A84"/>
    <w:rsid w:val="005B2D16"/>
    <w:rsid w:val="005B4DAF"/>
    <w:rsid w:val="005B54B8"/>
    <w:rsid w:val="005B56A0"/>
    <w:rsid w:val="005B5788"/>
    <w:rsid w:val="005B60D5"/>
    <w:rsid w:val="005B693A"/>
    <w:rsid w:val="005C11D6"/>
    <w:rsid w:val="005C12EA"/>
    <w:rsid w:val="005C1759"/>
    <w:rsid w:val="005C234E"/>
    <w:rsid w:val="005C25EE"/>
    <w:rsid w:val="005D02EE"/>
    <w:rsid w:val="005D0C1B"/>
    <w:rsid w:val="005D210E"/>
    <w:rsid w:val="005D3D27"/>
    <w:rsid w:val="005D464B"/>
    <w:rsid w:val="005D7D3A"/>
    <w:rsid w:val="005D7EB1"/>
    <w:rsid w:val="005E0D8B"/>
    <w:rsid w:val="005E447B"/>
    <w:rsid w:val="005E6EF7"/>
    <w:rsid w:val="005E736A"/>
    <w:rsid w:val="005E75FC"/>
    <w:rsid w:val="005F042D"/>
    <w:rsid w:val="005F3D1C"/>
    <w:rsid w:val="005F534C"/>
    <w:rsid w:val="005F75F8"/>
    <w:rsid w:val="006044C7"/>
    <w:rsid w:val="006123B6"/>
    <w:rsid w:val="00613232"/>
    <w:rsid w:val="00613977"/>
    <w:rsid w:val="00615B56"/>
    <w:rsid w:val="0061627D"/>
    <w:rsid w:val="006206C7"/>
    <w:rsid w:val="00622EC4"/>
    <w:rsid w:val="00623828"/>
    <w:rsid w:val="0062488B"/>
    <w:rsid w:val="00625BD0"/>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869"/>
    <w:rsid w:val="006A34DA"/>
    <w:rsid w:val="006A6AEE"/>
    <w:rsid w:val="006B027E"/>
    <w:rsid w:val="006B0965"/>
    <w:rsid w:val="006B6754"/>
    <w:rsid w:val="006B71FD"/>
    <w:rsid w:val="006C0661"/>
    <w:rsid w:val="006C0E3B"/>
    <w:rsid w:val="006C18AF"/>
    <w:rsid w:val="006C1D12"/>
    <w:rsid w:val="006C4DD5"/>
    <w:rsid w:val="006D29E6"/>
    <w:rsid w:val="006D449D"/>
    <w:rsid w:val="006D5851"/>
    <w:rsid w:val="006D5DAA"/>
    <w:rsid w:val="006D60D9"/>
    <w:rsid w:val="006D6178"/>
    <w:rsid w:val="006D7FB5"/>
    <w:rsid w:val="006E0184"/>
    <w:rsid w:val="006E116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17B44"/>
    <w:rsid w:val="00720729"/>
    <w:rsid w:val="007212E2"/>
    <w:rsid w:val="00723DEB"/>
    <w:rsid w:val="007240E7"/>
    <w:rsid w:val="00727CC7"/>
    <w:rsid w:val="00731AEB"/>
    <w:rsid w:val="00740188"/>
    <w:rsid w:val="00740C36"/>
    <w:rsid w:val="00741A8F"/>
    <w:rsid w:val="00742008"/>
    <w:rsid w:val="00743BA0"/>
    <w:rsid w:val="00747DFD"/>
    <w:rsid w:val="007522A5"/>
    <w:rsid w:val="00754329"/>
    <w:rsid w:val="0075442C"/>
    <w:rsid w:val="007547A1"/>
    <w:rsid w:val="00756A93"/>
    <w:rsid w:val="0075769A"/>
    <w:rsid w:val="007602C1"/>
    <w:rsid w:val="007658DB"/>
    <w:rsid w:val="00765DEF"/>
    <w:rsid w:val="00766E46"/>
    <w:rsid w:val="00770E6E"/>
    <w:rsid w:val="00771A7C"/>
    <w:rsid w:val="0077230A"/>
    <w:rsid w:val="00772725"/>
    <w:rsid w:val="00772BC9"/>
    <w:rsid w:val="00773EB7"/>
    <w:rsid w:val="007751AA"/>
    <w:rsid w:val="00777AD7"/>
    <w:rsid w:val="00780566"/>
    <w:rsid w:val="007912CE"/>
    <w:rsid w:val="0079451D"/>
    <w:rsid w:val="007A04C8"/>
    <w:rsid w:val="007A3102"/>
    <w:rsid w:val="007A3B30"/>
    <w:rsid w:val="007A3FC0"/>
    <w:rsid w:val="007A49BA"/>
    <w:rsid w:val="007A609F"/>
    <w:rsid w:val="007A7484"/>
    <w:rsid w:val="007B341D"/>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0355"/>
    <w:rsid w:val="0081359D"/>
    <w:rsid w:val="008136A0"/>
    <w:rsid w:val="00813CDD"/>
    <w:rsid w:val="00814164"/>
    <w:rsid w:val="00814AD7"/>
    <w:rsid w:val="00815A2E"/>
    <w:rsid w:val="00815E5A"/>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2F86"/>
    <w:rsid w:val="008439A0"/>
    <w:rsid w:val="00843BE9"/>
    <w:rsid w:val="008508FF"/>
    <w:rsid w:val="00850CAC"/>
    <w:rsid w:val="0085238C"/>
    <w:rsid w:val="008530DA"/>
    <w:rsid w:val="008538D0"/>
    <w:rsid w:val="00853BF4"/>
    <w:rsid w:val="00853DF2"/>
    <w:rsid w:val="00854ED5"/>
    <w:rsid w:val="00855965"/>
    <w:rsid w:val="00856356"/>
    <w:rsid w:val="008563F2"/>
    <w:rsid w:val="00860671"/>
    <w:rsid w:val="00862CD2"/>
    <w:rsid w:val="00864A48"/>
    <w:rsid w:val="0086508B"/>
    <w:rsid w:val="00866E4F"/>
    <w:rsid w:val="0087156B"/>
    <w:rsid w:val="00872D7E"/>
    <w:rsid w:val="008754E6"/>
    <w:rsid w:val="0087776F"/>
    <w:rsid w:val="0088233C"/>
    <w:rsid w:val="0088280A"/>
    <w:rsid w:val="00883EB7"/>
    <w:rsid w:val="00885BE8"/>
    <w:rsid w:val="00892C9F"/>
    <w:rsid w:val="00892FBD"/>
    <w:rsid w:val="00893AD8"/>
    <w:rsid w:val="00893D2C"/>
    <w:rsid w:val="00894D11"/>
    <w:rsid w:val="0089523F"/>
    <w:rsid w:val="008967E5"/>
    <w:rsid w:val="00897BCF"/>
    <w:rsid w:val="008A07FE"/>
    <w:rsid w:val="008A12AD"/>
    <w:rsid w:val="008A1677"/>
    <w:rsid w:val="008A4FE0"/>
    <w:rsid w:val="008A6436"/>
    <w:rsid w:val="008A6E5D"/>
    <w:rsid w:val="008B04B3"/>
    <w:rsid w:val="008B060F"/>
    <w:rsid w:val="008B144F"/>
    <w:rsid w:val="008B1A88"/>
    <w:rsid w:val="008B279B"/>
    <w:rsid w:val="008B3B85"/>
    <w:rsid w:val="008B42E3"/>
    <w:rsid w:val="008B4E8C"/>
    <w:rsid w:val="008B60B8"/>
    <w:rsid w:val="008C12BE"/>
    <w:rsid w:val="008C1B93"/>
    <w:rsid w:val="008C1D68"/>
    <w:rsid w:val="008C22C7"/>
    <w:rsid w:val="008C38EB"/>
    <w:rsid w:val="008C414B"/>
    <w:rsid w:val="008C5058"/>
    <w:rsid w:val="008C54EA"/>
    <w:rsid w:val="008C6701"/>
    <w:rsid w:val="008C671C"/>
    <w:rsid w:val="008D256D"/>
    <w:rsid w:val="008D28A9"/>
    <w:rsid w:val="008D3BDF"/>
    <w:rsid w:val="008D4F18"/>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DDA"/>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56B"/>
    <w:rsid w:val="00981E5F"/>
    <w:rsid w:val="00982448"/>
    <w:rsid w:val="00983846"/>
    <w:rsid w:val="00990CC8"/>
    <w:rsid w:val="0099227E"/>
    <w:rsid w:val="009949C5"/>
    <w:rsid w:val="009A19B2"/>
    <w:rsid w:val="009B3EC0"/>
    <w:rsid w:val="009B5FE8"/>
    <w:rsid w:val="009B62B1"/>
    <w:rsid w:val="009B76C2"/>
    <w:rsid w:val="009C080D"/>
    <w:rsid w:val="009C5293"/>
    <w:rsid w:val="009D41DF"/>
    <w:rsid w:val="009D709E"/>
    <w:rsid w:val="009D776D"/>
    <w:rsid w:val="009E0249"/>
    <w:rsid w:val="009E0357"/>
    <w:rsid w:val="009E055A"/>
    <w:rsid w:val="009E0F0F"/>
    <w:rsid w:val="009E3232"/>
    <w:rsid w:val="009E36AC"/>
    <w:rsid w:val="009E4FB4"/>
    <w:rsid w:val="009E5694"/>
    <w:rsid w:val="009E585B"/>
    <w:rsid w:val="009F040E"/>
    <w:rsid w:val="00A01176"/>
    <w:rsid w:val="00A01765"/>
    <w:rsid w:val="00A02DD3"/>
    <w:rsid w:val="00A04D6C"/>
    <w:rsid w:val="00A05622"/>
    <w:rsid w:val="00A1136A"/>
    <w:rsid w:val="00A1333F"/>
    <w:rsid w:val="00A16250"/>
    <w:rsid w:val="00A17296"/>
    <w:rsid w:val="00A17D28"/>
    <w:rsid w:val="00A20935"/>
    <w:rsid w:val="00A21621"/>
    <w:rsid w:val="00A22457"/>
    <w:rsid w:val="00A22900"/>
    <w:rsid w:val="00A22E32"/>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0884"/>
    <w:rsid w:val="00A6261F"/>
    <w:rsid w:val="00A662A3"/>
    <w:rsid w:val="00A6697F"/>
    <w:rsid w:val="00A71C8A"/>
    <w:rsid w:val="00A71ED6"/>
    <w:rsid w:val="00A77E76"/>
    <w:rsid w:val="00A80090"/>
    <w:rsid w:val="00A80114"/>
    <w:rsid w:val="00A85A64"/>
    <w:rsid w:val="00A864D6"/>
    <w:rsid w:val="00A93118"/>
    <w:rsid w:val="00AA3EC5"/>
    <w:rsid w:val="00AA48F5"/>
    <w:rsid w:val="00AA4B39"/>
    <w:rsid w:val="00AA512B"/>
    <w:rsid w:val="00AA608B"/>
    <w:rsid w:val="00AA66F1"/>
    <w:rsid w:val="00AA77C0"/>
    <w:rsid w:val="00AB1CD7"/>
    <w:rsid w:val="00AB1F5C"/>
    <w:rsid w:val="00AB4311"/>
    <w:rsid w:val="00AB49DA"/>
    <w:rsid w:val="00AB59A7"/>
    <w:rsid w:val="00AB68F7"/>
    <w:rsid w:val="00AC077B"/>
    <w:rsid w:val="00AC0C82"/>
    <w:rsid w:val="00AC1F08"/>
    <w:rsid w:val="00AC42ED"/>
    <w:rsid w:val="00AC60ED"/>
    <w:rsid w:val="00AC7D98"/>
    <w:rsid w:val="00AD2373"/>
    <w:rsid w:val="00AD493F"/>
    <w:rsid w:val="00AD564C"/>
    <w:rsid w:val="00AD7639"/>
    <w:rsid w:val="00AE3182"/>
    <w:rsid w:val="00AE43A3"/>
    <w:rsid w:val="00AF095A"/>
    <w:rsid w:val="00AF1119"/>
    <w:rsid w:val="00AF3412"/>
    <w:rsid w:val="00AF59C3"/>
    <w:rsid w:val="00B011BB"/>
    <w:rsid w:val="00B0163B"/>
    <w:rsid w:val="00B04312"/>
    <w:rsid w:val="00B0539A"/>
    <w:rsid w:val="00B06669"/>
    <w:rsid w:val="00B06CDE"/>
    <w:rsid w:val="00B06F09"/>
    <w:rsid w:val="00B07DF0"/>
    <w:rsid w:val="00B14782"/>
    <w:rsid w:val="00B14B32"/>
    <w:rsid w:val="00B14BA4"/>
    <w:rsid w:val="00B14C9C"/>
    <w:rsid w:val="00B14E05"/>
    <w:rsid w:val="00B162E1"/>
    <w:rsid w:val="00B17156"/>
    <w:rsid w:val="00B17987"/>
    <w:rsid w:val="00B17A29"/>
    <w:rsid w:val="00B17D85"/>
    <w:rsid w:val="00B21231"/>
    <w:rsid w:val="00B21966"/>
    <w:rsid w:val="00B2363C"/>
    <w:rsid w:val="00B252F9"/>
    <w:rsid w:val="00B25977"/>
    <w:rsid w:val="00B271D8"/>
    <w:rsid w:val="00B27C45"/>
    <w:rsid w:val="00B313EB"/>
    <w:rsid w:val="00B3198A"/>
    <w:rsid w:val="00B34812"/>
    <w:rsid w:val="00B357AE"/>
    <w:rsid w:val="00B37E57"/>
    <w:rsid w:val="00B42FA5"/>
    <w:rsid w:val="00B46B76"/>
    <w:rsid w:val="00B514D3"/>
    <w:rsid w:val="00B51BC7"/>
    <w:rsid w:val="00B52134"/>
    <w:rsid w:val="00B52C0A"/>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6D7E"/>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21A9"/>
    <w:rsid w:val="00BD399A"/>
    <w:rsid w:val="00BD557E"/>
    <w:rsid w:val="00BD5B18"/>
    <w:rsid w:val="00BD5F64"/>
    <w:rsid w:val="00BE0201"/>
    <w:rsid w:val="00BE3232"/>
    <w:rsid w:val="00BE520C"/>
    <w:rsid w:val="00BF0643"/>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2E13"/>
    <w:rsid w:val="00C13B9C"/>
    <w:rsid w:val="00C14063"/>
    <w:rsid w:val="00C15102"/>
    <w:rsid w:val="00C15A56"/>
    <w:rsid w:val="00C20353"/>
    <w:rsid w:val="00C22F0A"/>
    <w:rsid w:val="00C2325B"/>
    <w:rsid w:val="00C25B1C"/>
    <w:rsid w:val="00C26299"/>
    <w:rsid w:val="00C311E4"/>
    <w:rsid w:val="00C322BB"/>
    <w:rsid w:val="00C32DE4"/>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625"/>
    <w:rsid w:val="00C8516B"/>
    <w:rsid w:val="00C854C1"/>
    <w:rsid w:val="00C85B81"/>
    <w:rsid w:val="00C9178F"/>
    <w:rsid w:val="00C93F76"/>
    <w:rsid w:val="00C96219"/>
    <w:rsid w:val="00C9655A"/>
    <w:rsid w:val="00C96FCA"/>
    <w:rsid w:val="00C9754D"/>
    <w:rsid w:val="00C975DF"/>
    <w:rsid w:val="00CA5D84"/>
    <w:rsid w:val="00CB1F96"/>
    <w:rsid w:val="00CB35E1"/>
    <w:rsid w:val="00CC1960"/>
    <w:rsid w:val="00CD11F9"/>
    <w:rsid w:val="00CE1CF3"/>
    <w:rsid w:val="00CE70F3"/>
    <w:rsid w:val="00CE7659"/>
    <w:rsid w:val="00CF0E18"/>
    <w:rsid w:val="00CF29A4"/>
    <w:rsid w:val="00CF2F2E"/>
    <w:rsid w:val="00CF624D"/>
    <w:rsid w:val="00CF68C9"/>
    <w:rsid w:val="00CF6E34"/>
    <w:rsid w:val="00D04DDF"/>
    <w:rsid w:val="00D066D9"/>
    <w:rsid w:val="00D076EF"/>
    <w:rsid w:val="00D108C5"/>
    <w:rsid w:val="00D10D7A"/>
    <w:rsid w:val="00D1124A"/>
    <w:rsid w:val="00D1187F"/>
    <w:rsid w:val="00D11C2D"/>
    <w:rsid w:val="00D1618D"/>
    <w:rsid w:val="00D1669C"/>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F03"/>
    <w:rsid w:val="00D61C85"/>
    <w:rsid w:val="00D624E5"/>
    <w:rsid w:val="00D634A8"/>
    <w:rsid w:val="00D63514"/>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CE2"/>
    <w:rsid w:val="00D941C3"/>
    <w:rsid w:val="00D94868"/>
    <w:rsid w:val="00D94A99"/>
    <w:rsid w:val="00D95324"/>
    <w:rsid w:val="00D95482"/>
    <w:rsid w:val="00D95BB2"/>
    <w:rsid w:val="00DA0390"/>
    <w:rsid w:val="00DA1940"/>
    <w:rsid w:val="00DA2C2F"/>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5C30"/>
    <w:rsid w:val="00DE7F41"/>
    <w:rsid w:val="00DF0F50"/>
    <w:rsid w:val="00DF2309"/>
    <w:rsid w:val="00DF28DC"/>
    <w:rsid w:val="00DF3915"/>
    <w:rsid w:val="00DF44AC"/>
    <w:rsid w:val="00DF4CE2"/>
    <w:rsid w:val="00E0093E"/>
    <w:rsid w:val="00E0168F"/>
    <w:rsid w:val="00E12071"/>
    <w:rsid w:val="00E12660"/>
    <w:rsid w:val="00E12838"/>
    <w:rsid w:val="00E15BBF"/>
    <w:rsid w:val="00E15ECD"/>
    <w:rsid w:val="00E23F00"/>
    <w:rsid w:val="00E2599A"/>
    <w:rsid w:val="00E26A0F"/>
    <w:rsid w:val="00E30F85"/>
    <w:rsid w:val="00E318D4"/>
    <w:rsid w:val="00E3225C"/>
    <w:rsid w:val="00E339EE"/>
    <w:rsid w:val="00E3557A"/>
    <w:rsid w:val="00E4014C"/>
    <w:rsid w:val="00E401FC"/>
    <w:rsid w:val="00E42D1B"/>
    <w:rsid w:val="00E46C0B"/>
    <w:rsid w:val="00E46FAB"/>
    <w:rsid w:val="00E474DC"/>
    <w:rsid w:val="00E5155C"/>
    <w:rsid w:val="00E51832"/>
    <w:rsid w:val="00E55EA9"/>
    <w:rsid w:val="00E56307"/>
    <w:rsid w:val="00E56D55"/>
    <w:rsid w:val="00E56F52"/>
    <w:rsid w:val="00E57F76"/>
    <w:rsid w:val="00E60696"/>
    <w:rsid w:val="00E62028"/>
    <w:rsid w:val="00E6393C"/>
    <w:rsid w:val="00E67E51"/>
    <w:rsid w:val="00E75C2E"/>
    <w:rsid w:val="00E76BE0"/>
    <w:rsid w:val="00E7790B"/>
    <w:rsid w:val="00E81714"/>
    <w:rsid w:val="00E822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437"/>
    <w:rsid w:val="00F277D3"/>
    <w:rsid w:val="00F30997"/>
    <w:rsid w:val="00F30DD8"/>
    <w:rsid w:val="00F32896"/>
    <w:rsid w:val="00F3357D"/>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9A4"/>
    <w:rsid w:val="00F64CD4"/>
    <w:rsid w:val="00F65AB2"/>
    <w:rsid w:val="00F71BBB"/>
    <w:rsid w:val="00F73E78"/>
    <w:rsid w:val="00F740C2"/>
    <w:rsid w:val="00F7591E"/>
    <w:rsid w:val="00F75EF9"/>
    <w:rsid w:val="00F77A9B"/>
    <w:rsid w:val="00F83035"/>
    <w:rsid w:val="00F866B0"/>
    <w:rsid w:val="00F869EF"/>
    <w:rsid w:val="00F86BE4"/>
    <w:rsid w:val="00F86C7B"/>
    <w:rsid w:val="00F86D61"/>
    <w:rsid w:val="00F905B6"/>
    <w:rsid w:val="00F90B31"/>
    <w:rsid w:val="00F913D6"/>
    <w:rsid w:val="00F914B2"/>
    <w:rsid w:val="00F926B9"/>
    <w:rsid w:val="00F9463A"/>
    <w:rsid w:val="00F94B8E"/>
    <w:rsid w:val="00F9541D"/>
    <w:rsid w:val="00FA0403"/>
    <w:rsid w:val="00FA597D"/>
    <w:rsid w:val="00FA5B9A"/>
    <w:rsid w:val="00FA781C"/>
    <w:rsid w:val="00FB01B9"/>
    <w:rsid w:val="00FB6FFC"/>
    <w:rsid w:val="00FB763A"/>
    <w:rsid w:val="00FB79C0"/>
    <w:rsid w:val="00FC2B81"/>
    <w:rsid w:val="00FC2EB8"/>
    <w:rsid w:val="00FC5C43"/>
    <w:rsid w:val="00FD1598"/>
    <w:rsid w:val="00FD4090"/>
    <w:rsid w:val="00FD576E"/>
    <w:rsid w:val="00FD596B"/>
    <w:rsid w:val="00FE1A68"/>
    <w:rsid w:val="00FE55C8"/>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Medium Grid 1 - Accent 21,Body of textCxSp"/>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JRPMBody">
    <w:name w:val="JRPM_Body"/>
    <w:basedOn w:val="Normal"/>
    <w:qFormat/>
    <w:rsid w:val="000A6A15"/>
    <w:pPr>
      <w:ind w:firstLine="567"/>
      <w:jc w:val="both"/>
    </w:pPr>
    <w:rPr>
      <w:sz w:val="22"/>
      <w:szCs w:val="24"/>
      <w:lang w:val="id-ID"/>
    </w:rPr>
  </w:style>
  <w:style w:type="paragraph" w:customStyle="1" w:styleId="IJASEITEquation">
    <w:name w:val="IJASEIT Equation"/>
    <w:basedOn w:val="Normal"/>
    <w:qFormat/>
    <w:rsid w:val="00BD21A9"/>
    <w:pPr>
      <w:tabs>
        <w:tab w:val="center" w:pos="2438"/>
        <w:tab w:val="right" w:pos="4876"/>
      </w:tabs>
      <w:adjustRightInd w:val="0"/>
      <w:snapToGrid w:val="0"/>
      <w:jc w:val="both"/>
    </w:pPr>
    <w:rPr>
      <w:rFonts w:eastAsia="SimSun"/>
      <w:szCs w:val="24"/>
      <w:lang w:val="en-AU" w:eastAsia="zh-C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Body of textCxSp Char"/>
    <w:link w:val="ListParagraph"/>
    <w:uiPriority w:val="34"/>
    <w:locked/>
    <w:rsid w:val="00BD21A9"/>
    <w:rPr>
      <w:rFonts w:ascii="Calibri" w:hAnsi="Calibri"/>
      <w:sz w:val="22"/>
      <w:szCs w:val="22"/>
      <w:lang w:val="en-GB" w:eastAsia="en-GB"/>
    </w:rPr>
  </w:style>
  <w:style w:type="paragraph" w:customStyle="1" w:styleId="Style">
    <w:name w:val="Style"/>
    <w:rsid w:val="00842F86"/>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Medium Grid 1 - Accent 21,Body of textCxSp"/>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JRPMBody">
    <w:name w:val="JRPM_Body"/>
    <w:basedOn w:val="Normal"/>
    <w:qFormat/>
    <w:rsid w:val="000A6A15"/>
    <w:pPr>
      <w:ind w:firstLine="567"/>
      <w:jc w:val="both"/>
    </w:pPr>
    <w:rPr>
      <w:sz w:val="22"/>
      <w:szCs w:val="24"/>
      <w:lang w:val="id-ID"/>
    </w:rPr>
  </w:style>
  <w:style w:type="paragraph" w:customStyle="1" w:styleId="IJASEITEquation">
    <w:name w:val="IJASEIT Equation"/>
    <w:basedOn w:val="Normal"/>
    <w:qFormat/>
    <w:rsid w:val="00BD21A9"/>
    <w:pPr>
      <w:tabs>
        <w:tab w:val="center" w:pos="2438"/>
        <w:tab w:val="right" w:pos="4876"/>
      </w:tabs>
      <w:adjustRightInd w:val="0"/>
      <w:snapToGrid w:val="0"/>
      <w:jc w:val="both"/>
    </w:pPr>
    <w:rPr>
      <w:rFonts w:eastAsia="SimSun"/>
      <w:szCs w:val="24"/>
      <w:lang w:val="en-AU" w:eastAsia="zh-C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Body of textCxSp Char"/>
    <w:link w:val="ListParagraph"/>
    <w:uiPriority w:val="34"/>
    <w:locked/>
    <w:rsid w:val="00BD21A9"/>
    <w:rPr>
      <w:rFonts w:ascii="Calibri" w:hAnsi="Calibri"/>
      <w:sz w:val="22"/>
      <w:szCs w:val="22"/>
      <w:lang w:val="en-GB" w:eastAsia="en-GB"/>
    </w:rPr>
  </w:style>
  <w:style w:type="paragraph" w:customStyle="1" w:styleId="Style">
    <w:name w:val="Style"/>
    <w:rsid w:val="00842F86"/>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2809522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29833407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6163606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19287679">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chb.2018.11.0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4F71-1AAA-455C-B0BC-59DFDC0E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22071</Words>
  <Characters>125811</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EduLearn</vt:lpstr>
    </vt:vector>
  </TitlesOfParts>
  <Company>cairo</Company>
  <LinksUpToDate>false</LinksUpToDate>
  <CharactersWithSpaces>147587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EduLearn</dc:title>
  <dc:creator/>
  <cp:lastModifiedBy>Asus X441N</cp:lastModifiedBy>
  <cp:revision>99</cp:revision>
  <cp:lastPrinted>2004-12-30T03:27:00Z</cp:lastPrinted>
  <dcterms:created xsi:type="dcterms:W3CDTF">2019-03-21T04:47:00Z</dcterms:created>
  <dcterms:modified xsi:type="dcterms:W3CDTF">2021-12-29T12:16:00Z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7983b9e7-6951-337e-a88d-b0ceefcab1e0</vt:lpwstr>
  </property>
  <property fmtid="{D5CDD505-2E9C-101B-9397-08002B2CF9AE}" pid="24" name="Mendeley Citation Style_1">
    <vt:lpwstr>http://www.zotero.org/styles/ieee</vt:lpwstr>
  </property>
</Properties>
</file>