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5C1B2C" w14:textId="22BDC830" w:rsidR="00C86748" w:rsidRPr="00C86748" w:rsidRDefault="00C86748" w:rsidP="00C86748">
      <w:pPr>
        <w:jc w:val="center"/>
        <w:rPr>
          <w:b/>
          <w:sz w:val="32"/>
          <w:szCs w:val="32"/>
        </w:rPr>
      </w:pPr>
      <w:r w:rsidRPr="00C86748">
        <w:rPr>
          <w:b/>
          <w:sz w:val="32"/>
          <w:szCs w:val="32"/>
        </w:rPr>
        <w:t xml:space="preserve">Metacognition awareness to support learning and performance of science students with PBLRQA model </w:t>
      </w:r>
    </w:p>
    <w:p w14:paraId="03332FF8" w14:textId="77777777" w:rsidR="00250A66" w:rsidRPr="003D5B84" w:rsidRDefault="00250A66" w:rsidP="00C86748">
      <w:pPr>
        <w:rPr>
          <w:b/>
          <w:bCs/>
        </w:rPr>
      </w:pPr>
    </w:p>
    <w:p w14:paraId="5DC3DDFC" w14:textId="2659DF04" w:rsidR="00904D6D" w:rsidRPr="00B45817" w:rsidRDefault="00C86748" w:rsidP="00904D6D">
      <w:pPr>
        <w:jc w:val="center"/>
        <w:rPr>
          <w:b/>
          <w:bCs/>
        </w:rPr>
      </w:pPr>
      <w:proofErr w:type="spellStart"/>
      <w:r>
        <w:rPr>
          <w:b/>
          <w:bCs/>
        </w:rPr>
        <w:t>Marleny</w:t>
      </w:r>
      <w:proofErr w:type="spellEnd"/>
      <w:r>
        <w:rPr>
          <w:b/>
          <w:bCs/>
        </w:rPr>
        <w:t xml:space="preserve"> Leasa</w:t>
      </w:r>
      <w:r w:rsidR="001A7D56" w:rsidRPr="001A7D56">
        <w:rPr>
          <w:b/>
          <w:bCs/>
          <w:vertAlign w:val="superscript"/>
        </w:rPr>
        <w:t>1</w:t>
      </w:r>
      <w:r w:rsidR="00E12660" w:rsidRPr="003D5B84">
        <w:rPr>
          <w:b/>
          <w:bCs/>
          <w:lang w:val="id-ID"/>
        </w:rPr>
        <w:t xml:space="preserve">, </w:t>
      </w:r>
      <w:r w:rsidR="00B45817">
        <w:rPr>
          <w:b/>
          <w:bCs/>
        </w:rPr>
        <w:t xml:space="preserve">John </w:t>
      </w:r>
      <w:proofErr w:type="spellStart"/>
      <w:r w:rsidR="00B45817">
        <w:rPr>
          <w:b/>
          <w:bCs/>
        </w:rPr>
        <w:t>Rafafy</w:t>
      </w:r>
      <w:proofErr w:type="spellEnd"/>
      <w:r w:rsidR="00B45817">
        <w:rPr>
          <w:b/>
          <w:bCs/>
        </w:rPr>
        <w:t xml:space="preserve"> Batlolona</w:t>
      </w:r>
      <w:r w:rsidR="001A7D56" w:rsidRPr="001A7D56">
        <w:rPr>
          <w:b/>
          <w:bCs/>
          <w:vertAlign w:val="superscript"/>
        </w:rPr>
        <w:t>2</w:t>
      </w:r>
    </w:p>
    <w:p w14:paraId="23699EAC" w14:textId="414C78BB" w:rsidR="00BE5657" w:rsidRPr="00BE5657" w:rsidRDefault="0021758D" w:rsidP="00C16562">
      <w:pPr>
        <w:pStyle w:val="AuthorAffiliations"/>
        <w:spacing w:after="0"/>
        <w:rPr>
          <w:i w:val="0"/>
          <w:sz w:val="18"/>
          <w:szCs w:val="18"/>
        </w:rPr>
      </w:pPr>
      <w:r>
        <w:rPr>
          <w:i w:val="0"/>
          <w:color w:val="000000"/>
          <w:sz w:val="18"/>
          <w:szCs w:val="18"/>
          <w:vertAlign w:val="superscript"/>
        </w:rPr>
        <w:t>1</w:t>
      </w:r>
      <w:r w:rsidR="00C16562" w:rsidRPr="00C16562">
        <w:rPr>
          <w:i w:val="0"/>
          <w:sz w:val="18"/>
          <w:szCs w:val="18"/>
        </w:rPr>
        <w:t>Department of Primary Teacher Education, Faculty of Teacher Traini</w:t>
      </w:r>
      <w:r w:rsidR="00C16562">
        <w:rPr>
          <w:i w:val="0"/>
          <w:sz w:val="18"/>
          <w:szCs w:val="18"/>
        </w:rPr>
        <w:t xml:space="preserve">ng and Education, </w:t>
      </w:r>
      <w:proofErr w:type="spellStart"/>
      <w:r w:rsidR="00C16562" w:rsidRPr="00C16562">
        <w:rPr>
          <w:i w:val="0"/>
          <w:sz w:val="18"/>
          <w:szCs w:val="18"/>
        </w:rPr>
        <w:t>Pattimura</w:t>
      </w:r>
      <w:proofErr w:type="spellEnd"/>
      <w:r w:rsidR="00C16562">
        <w:rPr>
          <w:i w:val="0"/>
          <w:sz w:val="18"/>
          <w:szCs w:val="18"/>
        </w:rPr>
        <w:t xml:space="preserve"> University</w:t>
      </w:r>
      <w:r w:rsidR="00BE5657" w:rsidRPr="00BE5657">
        <w:rPr>
          <w:i w:val="0"/>
          <w:sz w:val="18"/>
          <w:szCs w:val="18"/>
        </w:rPr>
        <w:t xml:space="preserve">, </w:t>
      </w:r>
      <w:r w:rsidR="00C16562">
        <w:rPr>
          <w:i w:val="0"/>
          <w:sz w:val="18"/>
          <w:szCs w:val="18"/>
        </w:rPr>
        <w:t xml:space="preserve">Ambon, </w:t>
      </w:r>
      <w:r w:rsidR="00BE5657" w:rsidRPr="00BE5657">
        <w:rPr>
          <w:i w:val="0"/>
          <w:sz w:val="18"/>
          <w:szCs w:val="18"/>
        </w:rPr>
        <w:t>Indonesia</w:t>
      </w:r>
    </w:p>
    <w:p w14:paraId="6B398F7B" w14:textId="1BAD1BED" w:rsidR="00F913D6" w:rsidRPr="00A62B8C" w:rsidRDefault="00A62B8C" w:rsidP="00F913D6">
      <w:pPr>
        <w:jc w:val="center"/>
        <w:rPr>
          <w:sz w:val="18"/>
          <w:szCs w:val="18"/>
          <w:vertAlign w:val="superscript"/>
        </w:rPr>
      </w:pPr>
      <w:r>
        <w:rPr>
          <w:sz w:val="18"/>
          <w:szCs w:val="18"/>
          <w:vertAlign w:val="superscript"/>
        </w:rPr>
        <w:t>2</w:t>
      </w:r>
      <w:r w:rsidR="0009006A" w:rsidRPr="0009006A">
        <w:rPr>
          <w:sz w:val="18"/>
          <w:szCs w:val="18"/>
        </w:rPr>
        <w:t xml:space="preserve">Department of </w:t>
      </w:r>
      <w:r w:rsidR="000E0E3D">
        <w:rPr>
          <w:sz w:val="18"/>
          <w:szCs w:val="18"/>
        </w:rPr>
        <w:t xml:space="preserve">Physics </w:t>
      </w:r>
      <w:r w:rsidR="00171A1D">
        <w:rPr>
          <w:sz w:val="18"/>
          <w:szCs w:val="18"/>
        </w:rPr>
        <w:t>Education</w:t>
      </w:r>
      <w:r w:rsidR="0009006A">
        <w:rPr>
          <w:sz w:val="18"/>
          <w:szCs w:val="18"/>
        </w:rPr>
        <w:t xml:space="preserve">, </w:t>
      </w:r>
      <w:proofErr w:type="spellStart"/>
      <w:r w:rsidR="0009006A" w:rsidRPr="0009006A">
        <w:rPr>
          <w:sz w:val="18"/>
          <w:szCs w:val="18"/>
        </w:rPr>
        <w:t>Pattimura</w:t>
      </w:r>
      <w:proofErr w:type="spellEnd"/>
      <w:r w:rsidR="0009006A">
        <w:rPr>
          <w:sz w:val="18"/>
          <w:szCs w:val="18"/>
        </w:rPr>
        <w:t xml:space="preserve"> University</w:t>
      </w:r>
      <w:r w:rsidR="00171A1D">
        <w:rPr>
          <w:sz w:val="18"/>
          <w:szCs w:val="18"/>
        </w:rPr>
        <w:t xml:space="preserve">, Ambon, Indonesia </w:t>
      </w:r>
    </w:p>
    <w:p w14:paraId="60F6CCD0" w14:textId="77777777" w:rsidR="00C07BEF" w:rsidRDefault="00C07BEF" w:rsidP="0088233C">
      <w:pPr>
        <w:jc w:val="center"/>
      </w:pPr>
    </w:p>
    <w:tbl>
      <w:tblPr>
        <w:tblStyle w:val="TableGrid"/>
        <w:tblW w:w="8897" w:type="dxa"/>
        <w:tblLook w:val="04A0" w:firstRow="1" w:lastRow="0" w:firstColumn="1" w:lastColumn="0" w:noHBand="0" w:noVBand="1"/>
      </w:tblPr>
      <w:tblGrid>
        <w:gridCol w:w="2802"/>
        <w:gridCol w:w="283"/>
        <w:gridCol w:w="5812"/>
      </w:tblGrid>
      <w:tr w:rsidR="006B027E" w14:paraId="09E611CE" w14:textId="77777777" w:rsidTr="00C07BEF">
        <w:tc>
          <w:tcPr>
            <w:tcW w:w="2802" w:type="dxa"/>
            <w:tcBorders>
              <w:top w:val="double" w:sz="4" w:space="0" w:color="auto"/>
              <w:left w:val="nil"/>
              <w:bottom w:val="single" w:sz="4" w:space="0" w:color="auto"/>
              <w:right w:val="nil"/>
            </w:tcBorders>
          </w:tcPr>
          <w:p w14:paraId="771C419E" w14:textId="77777777" w:rsidR="00957C11" w:rsidRPr="00957C11" w:rsidRDefault="00957C11" w:rsidP="00957C11">
            <w:pPr>
              <w:spacing w:before="120"/>
              <w:jc w:val="both"/>
              <w:rPr>
                <w:b/>
              </w:rPr>
            </w:pPr>
            <w:r w:rsidRPr="00957C11">
              <w:rPr>
                <w:b/>
              </w:rPr>
              <w:t>Article Info</w:t>
            </w:r>
          </w:p>
        </w:tc>
        <w:tc>
          <w:tcPr>
            <w:tcW w:w="283" w:type="dxa"/>
            <w:tcBorders>
              <w:top w:val="double" w:sz="4" w:space="0" w:color="auto"/>
              <w:left w:val="nil"/>
              <w:bottom w:val="nil"/>
              <w:right w:val="nil"/>
            </w:tcBorders>
          </w:tcPr>
          <w:p w14:paraId="120E467C" w14:textId="77777777" w:rsidR="00957C11" w:rsidRDefault="00957C11" w:rsidP="00957C11">
            <w:pPr>
              <w:spacing w:before="120"/>
              <w:jc w:val="center"/>
            </w:pPr>
          </w:p>
        </w:tc>
        <w:tc>
          <w:tcPr>
            <w:tcW w:w="5812" w:type="dxa"/>
            <w:tcBorders>
              <w:top w:val="double" w:sz="4" w:space="0" w:color="auto"/>
              <w:left w:val="nil"/>
              <w:bottom w:val="single" w:sz="4" w:space="0" w:color="auto"/>
              <w:right w:val="nil"/>
            </w:tcBorders>
          </w:tcPr>
          <w:p w14:paraId="48B2AEBB" w14:textId="77777777" w:rsidR="00957C11" w:rsidRPr="00957C11" w:rsidRDefault="00957C11" w:rsidP="00957C11">
            <w:pPr>
              <w:spacing w:before="120"/>
              <w:rPr>
                <w:color w:val="000000"/>
                <w:sz w:val="24"/>
                <w:szCs w:val="24"/>
              </w:rPr>
            </w:pPr>
            <w:r w:rsidRPr="00957C11">
              <w:rPr>
                <w:b/>
                <w:bCs/>
                <w:iCs/>
                <w:color w:val="000000"/>
              </w:rPr>
              <w:t>ABSTRACT</w:t>
            </w:r>
          </w:p>
        </w:tc>
      </w:tr>
      <w:tr w:rsidR="00941203" w14:paraId="4AB7F2AA" w14:textId="77777777" w:rsidTr="00C07BEF">
        <w:trPr>
          <w:trHeight w:val="1268"/>
        </w:trPr>
        <w:tc>
          <w:tcPr>
            <w:tcW w:w="2802" w:type="dxa"/>
            <w:tcBorders>
              <w:top w:val="single" w:sz="4" w:space="0" w:color="auto"/>
              <w:left w:val="nil"/>
              <w:bottom w:val="single" w:sz="4" w:space="0" w:color="auto"/>
              <w:right w:val="nil"/>
            </w:tcBorders>
          </w:tcPr>
          <w:p w14:paraId="5A45C574" w14:textId="77777777" w:rsidR="00941203" w:rsidRPr="007F286F" w:rsidRDefault="00941203" w:rsidP="00941203">
            <w:pPr>
              <w:spacing w:before="120" w:after="120"/>
              <w:jc w:val="both"/>
              <w:rPr>
                <w:b/>
                <w:i/>
              </w:rPr>
            </w:pPr>
            <w:r w:rsidRPr="007F286F">
              <w:rPr>
                <w:b/>
                <w:i/>
              </w:rPr>
              <w:t>Article history:</w:t>
            </w:r>
          </w:p>
          <w:p w14:paraId="41B4E721" w14:textId="77777777" w:rsidR="00941203" w:rsidRDefault="00941203" w:rsidP="00957C11">
            <w:pPr>
              <w:jc w:val="both"/>
            </w:pPr>
            <w:r w:rsidRPr="00957C11">
              <w:t>Received</w:t>
            </w:r>
            <w:r>
              <w:t xml:space="preserve"> Jun 12, 201x</w:t>
            </w:r>
          </w:p>
          <w:p w14:paraId="5413BDB8" w14:textId="77777777" w:rsidR="00941203" w:rsidRDefault="00941203" w:rsidP="00957C11">
            <w:pPr>
              <w:jc w:val="both"/>
            </w:pPr>
            <w:r>
              <w:t>Revised Aug 20, 201x</w:t>
            </w:r>
          </w:p>
          <w:p w14:paraId="146228CB" w14:textId="77777777" w:rsidR="00941203" w:rsidRDefault="00941203" w:rsidP="00957C11">
            <w:pPr>
              <w:jc w:val="both"/>
            </w:pPr>
            <w:r>
              <w:t>Accepted Aug 26, 201x</w:t>
            </w:r>
          </w:p>
          <w:p w14:paraId="14C3AB45" w14:textId="77777777" w:rsidR="00941203" w:rsidRPr="00957C11" w:rsidRDefault="00941203" w:rsidP="00941203">
            <w:pPr>
              <w:jc w:val="both"/>
            </w:pPr>
          </w:p>
        </w:tc>
        <w:tc>
          <w:tcPr>
            <w:tcW w:w="283" w:type="dxa"/>
            <w:vMerge w:val="restart"/>
            <w:tcBorders>
              <w:top w:val="nil"/>
              <w:left w:val="nil"/>
              <w:bottom w:val="nil"/>
              <w:right w:val="nil"/>
            </w:tcBorders>
          </w:tcPr>
          <w:p w14:paraId="318E4065" w14:textId="77777777" w:rsidR="00941203" w:rsidRDefault="00941203" w:rsidP="00957C11">
            <w:pPr>
              <w:spacing w:before="120"/>
              <w:jc w:val="both"/>
            </w:pPr>
          </w:p>
        </w:tc>
        <w:tc>
          <w:tcPr>
            <w:tcW w:w="5812" w:type="dxa"/>
            <w:vMerge w:val="restart"/>
            <w:tcBorders>
              <w:top w:val="single" w:sz="4" w:space="0" w:color="auto"/>
              <w:left w:val="nil"/>
              <w:bottom w:val="nil"/>
              <w:right w:val="nil"/>
            </w:tcBorders>
          </w:tcPr>
          <w:p w14:paraId="394943B9" w14:textId="28740477" w:rsidR="007D4982" w:rsidRPr="00DB62B6" w:rsidRDefault="007D4982" w:rsidP="00957C11">
            <w:pPr>
              <w:spacing w:before="120"/>
              <w:jc w:val="both"/>
              <w:rPr>
                <w:iCs/>
                <w:color w:val="000000"/>
                <w:sz w:val="18"/>
                <w:szCs w:val="18"/>
              </w:rPr>
            </w:pPr>
            <w:r w:rsidRPr="00DB62B6">
              <w:rPr>
                <w:sz w:val="18"/>
                <w:szCs w:val="18"/>
              </w:rPr>
              <w:t xml:space="preserve">Metacognition is one of the key learning skills in the 21st century, with a strong potential to help students succeed in science learning. Until now, this metacognition skill is less empowered by lecturers in learning. This study aimed to analyze the PBLRQA model's effect on biological science students' metacognition. This research is a quasi-experiment with a pretest-posttest nonequivalent control group design. Determination of the research sample class was carried out by random sampling. Each learning model was represented by one class as a PBL class combined with RQA and one other class as a PBL class. The number of classes used was 2, totaling 57 students. The instrument applied was a metacognitive awareness questionnaire from MAI and SEMLI-S. This inventory consisted of 34 statement items divided into planning, monitoring, evaluating, and revising skills. In addition, a student response questionnaire was also given to the implementation of the PBL learning model combined with RQA. The results showed that the learning model influenced students' metacognitive awareness. Thus, the PBLRQA model can be used in </w:t>
            </w:r>
            <w:proofErr w:type="gramStart"/>
            <w:r w:rsidRPr="00DB62B6">
              <w:rPr>
                <w:sz w:val="18"/>
                <w:szCs w:val="18"/>
              </w:rPr>
              <w:t>learning</w:t>
            </w:r>
            <w:proofErr w:type="gramEnd"/>
            <w:r w:rsidRPr="00DB62B6">
              <w:rPr>
                <w:sz w:val="18"/>
                <w:szCs w:val="18"/>
              </w:rPr>
              <w:t xml:space="preserve"> biological science students to improve student academic results in the learning process.</w:t>
            </w:r>
          </w:p>
        </w:tc>
      </w:tr>
      <w:tr w:rsidR="00941203" w14:paraId="317A8F38" w14:textId="77777777" w:rsidTr="00C07BEF">
        <w:trPr>
          <w:trHeight w:val="1231"/>
        </w:trPr>
        <w:tc>
          <w:tcPr>
            <w:tcW w:w="2802" w:type="dxa"/>
            <w:vMerge w:val="restart"/>
            <w:tcBorders>
              <w:top w:val="single" w:sz="4" w:space="0" w:color="auto"/>
              <w:left w:val="nil"/>
              <w:bottom w:val="single" w:sz="4" w:space="0" w:color="auto"/>
              <w:right w:val="nil"/>
            </w:tcBorders>
          </w:tcPr>
          <w:p w14:paraId="0DE5312A" w14:textId="77777777" w:rsidR="00941203" w:rsidRPr="007F286F" w:rsidRDefault="00941203" w:rsidP="00941203">
            <w:pPr>
              <w:spacing w:before="120" w:after="120"/>
              <w:jc w:val="both"/>
              <w:rPr>
                <w:b/>
                <w:i/>
              </w:rPr>
            </w:pPr>
            <w:r w:rsidRPr="007F286F">
              <w:rPr>
                <w:b/>
                <w:i/>
              </w:rPr>
              <w:t>Keyword</w:t>
            </w:r>
            <w:r w:rsidR="001A7D56">
              <w:rPr>
                <w:b/>
                <w:i/>
              </w:rPr>
              <w:t>s</w:t>
            </w:r>
            <w:r w:rsidRPr="007F286F">
              <w:rPr>
                <w:b/>
                <w:i/>
              </w:rPr>
              <w:t>:</w:t>
            </w:r>
          </w:p>
          <w:p w14:paraId="7A725C36" w14:textId="208A4172" w:rsidR="009B7297" w:rsidRPr="009B7297" w:rsidRDefault="009B7297" w:rsidP="00FD390B">
            <w:pPr>
              <w:jc w:val="both"/>
            </w:pPr>
            <w:r>
              <w:t>M</w:t>
            </w:r>
            <w:r w:rsidRPr="009B7297">
              <w:t>etacognitive awareness</w:t>
            </w:r>
          </w:p>
          <w:p w14:paraId="103B44BD" w14:textId="77777777" w:rsidR="009B7297" w:rsidRPr="009B7297" w:rsidRDefault="009B7297" w:rsidP="00FD390B">
            <w:pPr>
              <w:jc w:val="both"/>
            </w:pPr>
            <w:r w:rsidRPr="009B7297">
              <w:t>PBL</w:t>
            </w:r>
          </w:p>
          <w:p w14:paraId="51D45E1C" w14:textId="77777777" w:rsidR="009B7297" w:rsidRPr="009B7297" w:rsidRDefault="009B7297" w:rsidP="00FD390B">
            <w:pPr>
              <w:jc w:val="both"/>
            </w:pPr>
            <w:r w:rsidRPr="009B7297">
              <w:t>RQA</w:t>
            </w:r>
          </w:p>
          <w:p w14:paraId="1EB07EF4" w14:textId="1EE959EC" w:rsidR="009B7297" w:rsidRPr="009B7297" w:rsidRDefault="009B7297" w:rsidP="00FD390B">
            <w:pPr>
              <w:jc w:val="both"/>
            </w:pPr>
            <w:r>
              <w:t>B</w:t>
            </w:r>
            <w:r w:rsidRPr="009B7297">
              <w:t>iological science learning</w:t>
            </w:r>
          </w:p>
          <w:p w14:paraId="5886B4EC" w14:textId="77777777" w:rsidR="00FD390B" w:rsidRPr="007F286F" w:rsidRDefault="00FD390B" w:rsidP="00941203">
            <w:pPr>
              <w:jc w:val="both"/>
              <w:rPr>
                <w:b/>
                <w:i/>
              </w:rPr>
            </w:pPr>
          </w:p>
        </w:tc>
        <w:tc>
          <w:tcPr>
            <w:tcW w:w="283" w:type="dxa"/>
            <w:vMerge/>
            <w:tcBorders>
              <w:top w:val="nil"/>
              <w:left w:val="nil"/>
              <w:bottom w:val="nil"/>
              <w:right w:val="nil"/>
            </w:tcBorders>
          </w:tcPr>
          <w:p w14:paraId="42D7A1CB" w14:textId="77777777" w:rsidR="00941203" w:rsidRDefault="00941203" w:rsidP="00957C11">
            <w:pPr>
              <w:spacing w:before="120"/>
              <w:jc w:val="both"/>
            </w:pPr>
          </w:p>
        </w:tc>
        <w:tc>
          <w:tcPr>
            <w:tcW w:w="5812" w:type="dxa"/>
            <w:vMerge/>
            <w:tcBorders>
              <w:top w:val="nil"/>
              <w:left w:val="nil"/>
              <w:bottom w:val="nil"/>
              <w:right w:val="nil"/>
            </w:tcBorders>
          </w:tcPr>
          <w:p w14:paraId="6566BD57" w14:textId="77777777" w:rsidR="00941203" w:rsidRPr="00957C11" w:rsidRDefault="00941203" w:rsidP="00957C11">
            <w:pPr>
              <w:spacing w:before="120"/>
              <w:jc w:val="both"/>
              <w:rPr>
                <w:iCs/>
                <w:color w:val="000000"/>
                <w:sz w:val="18"/>
                <w:szCs w:val="18"/>
              </w:rPr>
            </w:pPr>
          </w:p>
        </w:tc>
      </w:tr>
      <w:tr w:rsidR="00941203" w14:paraId="4061F66C" w14:textId="77777777" w:rsidTr="00C07BEF">
        <w:trPr>
          <w:trHeight w:val="70"/>
        </w:trPr>
        <w:tc>
          <w:tcPr>
            <w:tcW w:w="2802" w:type="dxa"/>
            <w:vMerge/>
            <w:tcBorders>
              <w:top w:val="single" w:sz="4" w:space="0" w:color="auto"/>
              <w:left w:val="nil"/>
              <w:bottom w:val="single" w:sz="4" w:space="0" w:color="auto"/>
              <w:right w:val="nil"/>
            </w:tcBorders>
          </w:tcPr>
          <w:p w14:paraId="45D51E4D" w14:textId="77777777" w:rsidR="00941203" w:rsidRPr="007F286F" w:rsidRDefault="00941203" w:rsidP="00941203">
            <w:pPr>
              <w:spacing w:before="120" w:after="120"/>
              <w:jc w:val="both"/>
              <w:rPr>
                <w:b/>
                <w:i/>
              </w:rPr>
            </w:pPr>
          </w:p>
        </w:tc>
        <w:tc>
          <w:tcPr>
            <w:tcW w:w="283" w:type="dxa"/>
            <w:vMerge/>
            <w:tcBorders>
              <w:top w:val="nil"/>
              <w:left w:val="nil"/>
              <w:bottom w:val="nil"/>
              <w:right w:val="nil"/>
            </w:tcBorders>
          </w:tcPr>
          <w:p w14:paraId="1BF84A57" w14:textId="77777777" w:rsidR="00941203" w:rsidRDefault="00941203" w:rsidP="00957C11">
            <w:pPr>
              <w:spacing w:before="120"/>
              <w:jc w:val="both"/>
            </w:pPr>
          </w:p>
        </w:tc>
        <w:tc>
          <w:tcPr>
            <w:tcW w:w="5812" w:type="dxa"/>
            <w:tcBorders>
              <w:top w:val="nil"/>
              <w:left w:val="nil"/>
              <w:bottom w:val="single" w:sz="4" w:space="0" w:color="auto"/>
              <w:right w:val="nil"/>
            </w:tcBorders>
          </w:tcPr>
          <w:p w14:paraId="0DCA9ABC" w14:textId="77777777" w:rsidR="00AA66F1" w:rsidRDefault="00AA66F1" w:rsidP="00AA66F1">
            <w:pPr>
              <w:spacing w:before="120" w:after="120"/>
              <w:jc w:val="right"/>
              <w:rPr>
                <w:i/>
                <w:iCs/>
                <w:color w:val="000000"/>
                <w:sz w:val="18"/>
                <w:szCs w:val="18"/>
              </w:rPr>
            </w:pPr>
            <w:r>
              <w:rPr>
                <w:i/>
                <w:iCs/>
                <w:color w:val="000000"/>
                <w:sz w:val="18"/>
                <w:szCs w:val="18"/>
              </w:rPr>
              <w:t xml:space="preserve">This is an open access article under the </w:t>
            </w:r>
            <w:hyperlink r:id="rId9" w:history="1">
              <w:r>
                <w:rPr>
                  <w:rStyle w:val="Hyperlink"/>
                  <w:i/>
                  <w:iCs/>
                  <w:sz w:val="18"/>
                  <w:szCs w:val="18"/>
                </w:rPr>
                <w:t>CC BY-SA</w:t>
              </w:r>
            </w:hyperlink>
            <w:r>
              <w:rPr>
                <w:i/>
                <w:iCs/>
                <w:color w:val="000000"/>
                <w:sz w:val="18"/>
                <w:szCs w:val="18"/>
              </w:rPr>
              <w:t xml:space="preserve"> license.</w:t>
            </w:r>
          </w:p>
          <w:p w14:paraId="1F48A155" w14:textId="1E4BC321" w:rsidR="00941203" w:rsidRPr="00941203" w:rsidRDefault="00AA66F1" w:rsidP="00AA66F1">
            <w:pPr>
              <w:spacing w:before="120" w:after="120"/>
              <w:jc w:val="right"/>
              <w:rPr>
                <w:i/>
                <w:iCs/>
                <w:color w:val="000000"/>
                <w:sz w:val="18"/>
                <w:szCs w:val="18"/>
              </w:rPr>
            </w:pPr>
            <w:r>
              <w:rPr>
                <w:noProof/>
              </w:rPr>
              <w:drawing>
                <wp:inline distT="0" distB="0" distL="0" distR="0" wp14:anchorId="3AEC1411" wp14:editId="5810F9CB">
                  <wp:extent cx="1057910" cy="374650"/>
                  <wp:effectExtent l="0" t="0" r="889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57910" cy="374650"/>
                          </a:xfrm>
                          <a:prstGeom prst="rect">
                            <a:avLst/>
                          </a:prstGeom>
                          <a:noFill/>
                          <a:ln>
                            <a:noFill/>
                          </a:ln>
                        </pic:spPr>
                      </pic:pic>
                    </a:graphicData>
                  </a:graphic>
                </wp:inline>
              </w:drawing>
            </w:r>
          </w:p>
        </w:tc>
      </w:tr>
      <w:tr w:rsidR="007F286F" w14:paraId="15207692" w14:textId="77777777" w:rsidTr="00C07BEF">
        <w:tc>
          <w:tcPr>
            <w:tcW w:w="8897" w:type="dxa"/>
            <w:gridSpan w:val="3"/>
            <w:tcBorders>
              <w:top w:val="nil"/>
              <w:left w:val="nil"/>
              <w:bottom w:val="double" w:sz="4" w:space="0" w:color="auto"/>
              <w:right w:val="nil"/>
            </w:tcBorders>
          </w:tcPr>
          <w:p w14:paraId="09375E16" w14:textId="77777777" w:rsidR="007F286F" w:rsidRPr="007F286F" w:rsidRDefault="007F286F" w:rsidP="00941203">
            <w:pPr>
              <w:spacing w:before="120" w:after="120"/>
              <w:rPr>
                <w:b/>
                <w:i/>
              </w:rPr>
            </w:pPr>
            <w:r w:rsidRPr="007F286F">
              <w:rPr>
                <w:b/>
                <w:i/>
              </w:rPr>
              <w:t>Corresponding Author:</w:t>
            </w:r>
          </w:p>
          <w:p w14:paraId="5E9E433A" w14:textId="77777777" w:rsidR="00730488" w:rsidRDefault="00730488" w:rsidP="00730488">
            <w:proofErr w:type="spellStart"/>
            <w:r>
              <w:t>Marleny</w:t>
            </w:r>
            <w:proofErr w:type="spellEnd"/>
            <w:r>
              <w:t xml:space="preserve"> </w:t>
            </w:r>
            <w:proofErr w:type="spellStart"/>
            <w:r>
              <w:t>Leasa</w:t>
            </w:r>
            <w:proofErr w:type="spellEnd"/>
          </w:p>
          <w:p w14:paraId="35DCF1C2" w14:textId="77777777" w:rsidR="000B26B5" w:rsidRDefault="000B26B5" w:rsidP="00730488">
            <w:r w:rsidRPr="000B26B5">
              <w:t>Department of Primary Teacher Education</w:t>
            </w:r>
            <w:r w:rsidR="00730488" w:rsidRPr="000B26B5">
              <w:t xml:space="preserve"> </w:t>
            </w:r>
          </w:p>
          <w:p w14:paraId="45719FB6" w14:textId="78337A83" w:rsidR="00730488" w:rsidRDefault="00730488" w:rsidP="00730488">
            <w:r>
              <w:t xml:space="preserve">Faculty of Teachers Training and Education, University of </w:t>
            </w:r>
            <w:proofErr w:type="spellStart"/>
            <w:r>
              <w:t>Pattimura</w:t>
            </w:r>
            <w:proofErr w:type="spellEnd"/>
            <w:r>
              <w:t xml:space="preserve"> </w:t>
            </w:r>
          </w:p>
          <w:p w14:paraId="0752F8D3" w14:textId="706835C6" w:rsidR="00941203" w:rsidRPr="00957C11" w:rsidRDefault="00730488" w:rsidP="00730488">
            <w:pPr>
              <w:rPr>
                <w:color w:val="000000"/>
                <w:sz w:val="18"/>
                <w:szCs w:val="18"/>
              </w:rPr>
            </w:pPr>
            <w:r>
              <w:t xml:space="preserve">Jl. Dr. </w:t>
            </w:r>
            <w:proofErr w:type="spellStart"/>
            <w:r>
              <w:t>Tamaela</w:t>
            </w:r>
            <w:proofErr w:type="spellEnd"/>
            <w:r>
              <w:t>, Campus PGSD Ambon 97114, Indon</w:t>
            </w:r>
            <w:r w:rsidR="006E73B0">
              <w:t>esia. Email: marleny.leasa@yahoo</w:t>
            </w:r>
            <w:bookmarkStart w:id="0" w:name="_GoBack"/>
            <w:bookmarkEnd w:id="0"/>
            <w:r>
              <w:t>.com</w:t>
            </w:r>
          </w:p>
        </w:tc>
      </w:tr>
    </w:tbl>
    <w:p w14:paraId="19717032" w14:textId="77777777" w:rsidR="00957C11" w:rsidRDefault="00957C11" w:rsidP="00957C11">
      <w:pPr>
        <w:jc w:val="both"/>
      </w:pPr>
    </w:p>
    <w:p w14:paraId="0492CE1A" w14:textId="77777777" w:rsidR="00F913D6" w:rsidRDefault="00F913D6" w:rsidP="00F913D6">
      <w:pPr>
        <w:jc w:val="both"/>
      </w:pPr>
    </w:p>
    <w:p w14:paraId="0EF97285" w14:textId="6B25758E" w:rsidR="00F913D6" w:rsidRDefault="00F913D6" w:rsidP="00F913D6">
      <w:pPr>
        <w:numPr>
          <w:ilvl w:val="0"/>
          <w:numId w:val="18"/>
        </w:numPr>
        <w:tabs>
          <w:tab w:val="left" w:pos="426"/>
        </w:tabs>
        <w:ind w:left="426" w:hanging="426"/>
        <w:rPr>
          <w:b/>
          <w:bCs/>
          <w:lang w:val="id-ID"/>
        </w:rPr>
      </w:pPr>
      <w:r>
        <w:rPr>
          <w:b/>
          <w:bCs/>
          <w:lang w:val="id-ID"/>
        </w:rPr>
        <w:t>INTRODUCTION</w:t>
      </w:r>
      <w:r w:rsidR="00D25710">
        <w:rPr>
          <w:b/>
          <w:bCs/>
        </w:rPr>
        <w:t xml:space="preserve"> </w:t>
      </w:r>
    </w:p>
    <w:p w14:paraId="6CEA9140" w14:textId="4986FE2D" w:rsidR="00110F7A" w:rsidRPr="00CC4F59" w:rsidRDefault="00110F7A" w:rsidP="00CC4F59">
      <w:pPr>
        <w:ind w:firstLine="720"/>
        <w:jc w:val="both"/>
      </w:pPr>
      <w:r>
        <w:t xml:space="preserve">Educational </w:t>
      </w:r>
      <w:r w:rsidRPr="007B7BEF">
        <w:t xml:space="preserve">researchers </w:t>
      </w:r>
      <w:r>
        <w:t xml:space="preserve">have shown that </w:t>
      </w:r>
      <w:r w:rsidRPr="007B7BEF">
        <w:t xml:space="preserve">metacognition </w:t>
      </w:r>
      <w:r>
        <w:t>improves academic</w:t>
      </w:r>
      <w:r w:rsidRPr="007B7BEF">
        <w:t xml:space="preserve"> achievement </w:t>
      </w:r>
      <w:r>
        <w:fldChar w:fldCharType="begin" w:fldLock="1"/>
      </w:r>
      <w:r w:rsidR="00CC4F59">
        <w:instrText>ADDIN CSL_CITATION {"citationItems":[{"id":"ITEM-1","itemData":{"DOI":"10.1037/bul0000098","ISSN":"00332909","PMID":"28333495","abstract":"The last 2 decades witnessed a surge in empirical studies on the variables associated with achievement in higher education. A number of meta-analyses synthesized these findings. In our systematic literature review, we included 38 meta-analyses investigating 105 correlates of achievement, based on 3,330 effect sizes from almost 2 million students. We provide a list of the 105 variables, ordered by the effect size, and summary statistics for central research topics. The results highlight the close relation between social interaction in courses and achievement. Achievement is also strongly associated with the stimulation of meaningful learning by presenting information in a clear way, relating it to the students, and using conceptually demanding learning tasks. Instruction and communication technology has comparably weak effect sizes, which did not increase over time. Strong moderator effects are found for almost all instructional methods, indicating that how a method is implemented in detail strongly affects achievement. Teachers with high-achieving students invest time and effort in designing the microstructure of their courses, establish clear learning goals, and employ feedback practices. This emphasizes the importance of teacher training in higher education. Students with high achievement are characterized by high self-efficacy, high prior achievement and intelligence, conscientiousness, and the goal-directed use of learning strategies. Barring the paucity of controlled experiments and the lack of meta-analyses on recent educational innovations, the variables associated with achievement in higher education are generally well investigated and well understood. By using these findings, teachers, university administrators, and policymakers can increase the effectivity of higher education.","author":[{"dropping-particle":"","family":"Schneider","given":"Michael","non-dropping-particle":"","parse-names":false,"suffix":""},{"dropping-particle":"","family":"Preckel","given":"Franzis","non-dropping-particle":"","parse-names":false,"suffix":""}],"container-title":"Psychological Bulletin","id":"ITEM-1","issue":"6","issued":{"date-parts":[["2017"]]},"page":"565-600","title":"Variables associated with achievement in higher education: A systematic review of meta-analyses","type":"article-journal","volume":"143"},"uris":["http://www.mendeley.com/documents/?uuid=036fbf3f-8221-4b09-9d7c-48932e2afdb2"]}],"mendeley":{"formattedCitation":"[1]","plainTextFormattedCitation":"[1]","previouslyFormattedCitation":"[1]"},"properties":{"noteIndex":0},"schema":"https://github.com/citation-style-language/schema/raw/master/csl-citation.json"}</w:instrText>
      </w:r>
      <w:r>
        <w:fldChar w:fldCharType="separate"/>
      </w:r>
      <w:r w:rsidR="00C21CC2" w:rsidRPr="00C21CC2">
        <w:rPr>
          <w:noProof/>
        </w:rPr>
        <w:t>[1]</w:t>
      </w:r>
      <w:r>
        <w:fldChar w:fldCharType="end"/>
      </w:r>
      <w:r>
        <w:t xml:space="preserve">. It is because </w:t>
      </w:r>
      <w:r w:rsidRPr="0017188F">
        <w:t xml:space="preserve">metacognitive awareness is important in success and failure </w:t>
      </w:r>
      <w:r>
        <w:t>in achieving learning</w:t>
      </w:r>
      <w:r w:rsidRPr="0017188F">
        <w:t xml:space="preserve"> goals</w:t>
      </w:r>
      <w:r w:rsidR="0060109B">
        <w:t xml:space="preserve"> </w:t>
      </w:r>
      <w:r w:rsidR="0060109B">
        <w:fldChar w:fldCharType="begin" w:fldLock="1"/>
      </w:r>
      <w:r w:rsidR="0060109B">
        <w:instrText>ADDIN CSL_CITATION {"citationItems":[{"id":"ITEM-1","itemData":{"DOI":"10.1016/j.paid.2015.12.012","ISSN":"01918869","abstract":"Professionals in high-risk organizations, such as the military, need to develop effective coping styles in order to deal with dangerous and stressful situations. Although most of these organizations already offer programs and interventions aimed at improving employees' coping styles, there is still little research on the predictors of coping style development. This two-wave study examined how goal orientation and metacognitive awareness contribute to coping style development during basic military training. Participants were 235 Dutch military recruits who completed a questionnaire before and after basic training. The results showed that participants with a strong learning goal orientation developed more effective (i.e. more problem-focused coping and less emotion-focused coping) coping styles, and that this effect was mediated by metacognitive awareness. Together, the findings yield theoretical as well as practical implications for organizations that aim to enhance effective coping styles in professionals in high-risk jobs.","author":[{"dropping-particle":"","family":"Delahaij","given":"Roos","non-dropping-particle":"","parse-names":false,"suffix":""},{"dropping-particle":"","family":"Dam","given":"Karen","non-dropping-particle":"van","parse-names":false,"suffix":""}],"container-title":"Personality and Individual Differences","id":"ITEM-1","issued":{"date-parts":[["2016"]]},"page":"57-62","publisher":"Elsevier Ltd","title":"Coping style development: The role of learning goal orientation and metacognitive awareness","type":"article-journal","volume":"92"},"uris":["http://www.mendeley.com/documents/?uuid=969e028f-2cb8-4810-b6f6-aca7733f7823"]}],"mendeley":{"formattedCitation":"[2]","plainTextFormattedCitation":"[2]","previouslyFormattedCitation":"[2]"},"properties":{"noteIndex":0},"schema":"https://github.com/citation-style-language/schema/raw/master/csl-citation.json"}</w:instrText>
      </w:r>
      <w:r w:rsidR="0060109B">
        <w:fldChar w:fldCharType="separate"/>
      </w:r>
      <w:r w:rsidR="0060109B" w:rsidRPr="0060109B">
        <w:rPr>
          <w:noProof/>
        </w:rPr>
        <w:t>[2]</w:t>
      </w:r>
      <w:r w:rsidR="0060109B">
        <w:fldChar w:fldCharType="end"/>
      </w:r>
      <w:r w:rsidRPr="0017188F">
        <w:t>.</w:t>
      </w:r>
      <w:r w:rsidR="0060109B">
        <w:t xml:space="preserve"> </w:t>
      </w:r>
      <w:r>
        <w:t xml:space="preserve">In addition, metacognition is a </w:t>
      </w:r>
      <w:r w:rsidRPr="007B7BEF">
        <w:t xml:space="preserve">component </w:t>
      </w:r>
      <w:r>
        <w:t xml:space="preserve">for </w:t>
      </w:r>
      <w:r w:rsidRPr="007B7BEF">
        <w:t xml:space="preserve">self-directed learners </w:t>
      </w:r>
      <w:r>
        <w:t xml:space="preserve">in </w:t>
      </w:r>
      <w:r w:rsidRPr="007B7BEF">
        <w:t xml:space="preserve">assessing </w:t>
      </w:r>
      <w:r>
        <w:t xml:space="preserve">abilities </w:t>
      </w:r>
      <w:r w:rsidRPr="007B7BEF">
        <w:t xml:space="preserve">and challenges while learning and monitoring and regulating </w:t>
      </w:r>
      <w:r>
        <w:t xml:space="preserve">students' </w:t>
      </w:r>
      <w:r w:rsidRPr="007B7BEF">
        <w:t xml:space="preserve">actions </w:t>
      </w:r>
      <w:r>
        <w:t xml:space="preserve">to achieve learning goals </w:t>
      </w:r>
      <w:r w:rsidR="0060109B">
        <w:fldChar w:fldCharType="begin" w:fldLock="1"/>
      </w:r>
      <w:r w:rsidR="0060109B">
        <w:instrText>ADDIN CSL_CITATION {"citationItems":[{"id":"ITEM-1","itemData":{"DOI":"10.1007/s11409-006-6893-0","ISBN":"1140900668","ISSN":"15561623","author":[{"dropping-particle":"","family":"Veenman","given":"Marcel V.J.","non-dropping-particle":"","parse-names":false,"suffix":""},{"dropping-particle":"","family":"Hout-Wolters","given":"Bernadette H.A.M.","non-dropping-particle":"Van","parse-names":false,"suffix":""},{"dropping-particle":"","family":"Afflerbach","given":"Peter","non-dropping-particle":"","parse-names":false,"suffix":""}],"container-title":"Metacognition and Learning","id":"ITEM-1","issue":"1","issued":{"date-parts":[["2006"]]},"page":"3-14","title":"Metacognition and learning: Conceptual and methodological considerations","type":"article-journal","volume":"1"},"uris":["http://www.mendeley.com/documents/?uuid=43f259ca-f7f4-497a-9102-a3577830c03a"]}],"mendeley":{"formattedCitation":"[3]","plainTextFormattedCitation":"[3]"},"properties":{"noteIndex":0},"schema":"https://github.com/citation-style-language/schema/raw/master/csl-citation.json"}</w:instrText>
      </w:r>
      <w:r w:rsidR="0060109B">
        <w:fldChar w:fldCharType="separate"/>
      </w:r>
      <w:r w:rsidR="0060109B" w:rsidRPr="0060109B">
        <w:rPr>
          <w:noProof/>
        </w:rPr>
        <w:t>[3]</w:t>
      </w:r>
      <w:r w:rsidR="0060109B">
        <w:fldChar w:fldCharType="end"/>
      </w:r>
      <w:r w:rsidR="0060109B">
        <w:t>.</w:t>
      </w:r>
      <w:r>
        <w:t xml:space="preserve"> </w:t>
      </w:r>
      <w:r w:rsidRPr="007B7BEF">
        <w:t xml:space="preserve">Metacognition includes metacognitive strategies (e.g., planning, monitoring, and evaluating) </w:t>
      </w:r>
      <w:r>
        <w:t xml:space="preserve">and </w:t>
      </w:r>
      <w:r w:rsidRPr="007B7BEF">
        <w:t xml:space="preserve">metacognitive knowledge related to </w:t>
      </w:r>
      <w:r>
        <w:t>strategies, tasks, and oneself</w:t>
      </w:r>
      <w:r w:rsidR="003C5E1E">
        <w:t xml:space="preserve"> </w:t>
      </w:r>
      <w:r w:rsidR="003C5E1E">
        <w:fldChar w:fldCharType="begin" w:fldLock="1"/>
      </w:r>
      <w:r w:rsidR="003C5E1E">
        <w:instrText>ADDIN CSL_CITATION {"citationItems":[{"id":"ITEM-1","itemData":{"DOI":"10.1007/s11409-021-09278-4","ISBN":"1140902109278","ISSN":"15561631","abstract":"This empirical study serves two purposes. The first purpose is to validate a newly developed instrument, the Metacognitive Academic Writing Strategies Questionnaire (MAWSQ), which represents the multifaceted structure of metacognition in an English as a Foreign Language (EFL) academic writing setting. The second purpose is to delineate the predictive effects of different metacognitive strategies on EFL academic writing performance. Data were collected from 664 students at a university in mainland China. Confirmatory factor analyses (CFA) provided evidence for the fit for two hypothesized models, i.e., an eight-factor correlated model and a one-factor second-order model. Model comparisons documented that the one-factor second-order model was a better model, through which metacognition functions as a higher order construct that can account for the correlations of the eight metacognitive strategies, pertaining to declarative knowledge, procedural knowledge, conditional knowledge, planning, monitoring, evaluating, information management, and debugging strategies. Results also provided evidence for the significant predicting effects of the eight strategies on EFL academic writing performance. The empirical evidence supports the transfer of metacognition theory from educational psychology to interpreting EFL academic writing.","author":[{"dropping-particle":"","family":"Teng","given":"Mark Feng","non-dropping-particle":"","parse-names":false,"suffix":""},{"dropping-particle":"","family":"Qin","given":"Chenghai","non-dropping-particle":"","parse-names":false,"suffix":""},{"dropping-particle":"","family":"Wang","given":"Chuang","non-dropping-particle":"","parse-names":false,"suffix":""}],"container-title":"Metacognition and Learning","id":"ITEM-1","issue":"1","issued":{"date-parts":[["2022"]]},"page":"167-190","publisher":"Springer US","title":"Validation of metacognitive academic writing strategies and the predictive effects on academic writing performance in a foreign language context","type":"article-journal","volume":"17"},"uris":["http://www.mendeley.com/documents/?uuid=e80f2d65-3435-4fb1-a114-65230c0446a5"]}],"mendeley":{"formattedCitation":"[4]","plainTextFormattedCitation":"[4]","previouslyFormattedCitation":"[4]"},"properties":{"noteIndex":0},"schema":"https://github.com/citation-style-language/schema/raw/master/csl-citation.json"}</w:instrText>
      </w:r>
      <w:r w:rsidR="003C5E1E">
        <w:fldChar w:fldCharType="separate"/>
      </w:r>
      <w:r w:rsidR="003C5E1E" w:rsidRPr="003C5E1E">
        <w:rPr>
          <w:noProof/>
        </w:rPr>
        <w:t>[4]</w:t>
      </w:r>
      <w:r w:rsidR="003C5E1E">
        <w:fldChar w:fldCharType="end"/>
      </w:r>
      <w:r w:rsidRPr="007B7BEF">
        <w:t xml:space="preserve">. Metacognitive processes are a sequence of higher skills used to regulate cognitive, emotional, and motivational strategies during learning </w:t>
      </w:r>
      <w:r w:rsidR="00CC4F59">
        <w:fldChar w:fldCharType="begin" w:fldLock="1"/>
      </w:r>
      <w:r w:rsidR="00CC4F59">
        <w:instrText>ADDIN CSL_CITATION {"citationItems":[{"id":"ITEM-1","itemData":{"DOI":"10.1007/s11409-006-6893-0","ISBN":"1140900668","ISSN":"15561623","author":[{"dropping-particle":"","family":"Veenman","given":"Marcel V.J.","non-dropping-particle":"","parse-names":false,"suffix":""},{"dropping-particle":"","family":"Hout-Wolters","given":"Bernadette H.A.M.","non-dropping-particle":"Van","parse-names":false,"suffix":""},{"dropping-particle":"","family":"Afflerbach","given":"Peter","non-dropping-particle":"","parse-names":false,"suffix":""}],"container-title":"Metacognition and Learning","id":"ITEM-1","issue":"1","issued":{"date-parts":[["2006"]]},"page":"3-14","title":"Metacognition and learning: Conceptual and methodological considerations","type":"article-journal","volume":"1"},"uris":["http://www.mendeley.com/documents/?uuid=43f259ca-f7f4-497a-9102-a3577830c03a"]}],"mendeley":{"formattedCitation":"[3]","plainTextFormattedCitation":"[3]","previouslyFormattedCitation":"[3]"},"properties":{"noteIndex":0},"schema":"https://github.com/citation-style-language/schema/raw/master/csl-citation.json"}</w:instrText>
      </w:r>
      <w:r w:rsidR="00CC4F59">
        <w:fldChar w:fldCharType="separate"/>
      </w:r>
      <w:r w:rsidR="00CC4F59" w:rsidRPr="00CC4F59">
        <w:rPr>
          <w:noProof/>
        </w:rPr>
        <w:t>[3]</w:t>
      </w:r>
      <w:r w:rsidR="00CC4F59">
        <w:fldChar w:fldCharType="end"/>
      </w:r>
      <w:r w:rsidR="00CC4F59">
        <w:t xml:space="preserve">, </w:t>
      </w:r>
      <w:r w:rsidR="00CC4F59">
        <w:fldChar w:fldCharType="begin" w:fldLock="1"/>
      </w:r>
      <w:r w:rsidR="003C5E1E">
        <w:instrText>ADDIN CSL_CITATION {"citationItems":[{"id":"ITEM-1","itemData":{"DOI":"10.1016/j.neuri.2022.100096","ISSN":"27725286","abstract":"The impact of metacognition on pupils' moral ideals and emotional development was investigated as well as it highlights on a collaborative research between metacognition and artificial intelligence that can bridge the gap (emotional, ethical, moral reasoning, common sense) existing in AI. A total of 200 pupils were selected in the study's sample. Participants (100 high metacognitive students and 100 low metacognitive students) were chosen at random and ranged in age from 17 to 21 years old. The influence of metacognition on students' moral ideals and emotional development was studied using a t-test. The outcome reveals that the mean score of moral reasoning on high metacognitive students as 66.77 and for low metacognitive students as 63.08, t value = 3.21, at the 0.01 level, statistically highly significant. The mean emotional maturity score for high metacognitive students was 29.99, while for low metacognitive students was 33.01, t value as 2.81, shows statistically significant at the 0.05 level. This demonstrates that the higher the score, the less emotionally stable the pupils are. The current findings show that metacognitive thinking has a major impact on moral reasoning and emotional maturity, and that as metacognition levels rise, so do moral reasoning and emotional maturity. Metacognition can strengthen the humanistic qualities which are majorly lacking in AI. In addition, there are new avenues being opened in the study of artificial intelligence via metacognitive study which is significant and futuristic.","author":[{"dropping-particle":"","family":"Negi","given":"Sunder Kala","non-dropping-particle":"","parse-names":false,"suffix":""},{"dropping-particle":"","family":"Rajkumari","given":"Yaisna","non-dropping-particle":"","parse-names":false,"suffix":""},{"dropping-particle":"","family":"Rana","given":"Minakshi","non-dropping-particle":"","parse-names":false,"suffix":""}],"container-title":"Neuroscience Informatics","id":"ITEM-1","issue":"4","issued":{"date-parts":[["2022"]]},"page":"100096","publisher":"Elsevier Masson SAS","title":"A deep dive into metacognition: Insightful tool for moral reasoning and emotional maturity","type":"article-journal","volume":"2"},"uris":["http://www.mendeley.com/documents/?uuid=0ae9dd69-40ce-4e96-a017-9075b0975945"]}],"mendeley":{"formattedCitation":"[5]","plainTextFormattedCitation":"[5]","previouslyFormattedCitation":"[5]"},"properties":{"noteIndex":0},"schema":"https://github.com/citation-style-language/schema/raw/master/csl-citation.json"}</w:instrText>
      </w:r>
      <w:r w:rsidR="00CC4F59">
        <w:fldChar w:fldCharType="separate"/>
      </w:r>
      <w:r w:rsidR="003C5E1E" w:rsidRPr="003C5E1E">
        <w:rPr>
          <w:noProof/>
        </w:rPr>
        <w:t>[5]</w:t>
      </w:r>
      <w:r w:rsidR="00CC4F59">
        <w:fldChar w:fldCharType="end"/>
      </w:r>
      <w:r w:rsidRPr="007B7BEF">
        <w:t xml:space="preserve">. In addition, metacognitive skills are general tasks </w:t>
      </w:r>
      <w:r>
        <w:t xml:space="preserve">that can be </w:t>
      </w:r>
      <w:r w:rsidRPr="007B7BEF">
        <w:t xml:space="preserve">applied and transferred to various learning contexts and </w:t>
      </w:r>
      <w:r>
        <w:t xml:space="preserve">subjects </w:t>
      </w:r>
      <w:r>
        <w:fldChar w:fldCharType="begin" w:fldLock="1"/>
      </w:r>
      <w:r w:rsidR="003C5E1E">
        <w:instrText>ADDIN CSL_CITATION {"citationItems":[{"id":"ITEM-1","itemData":{"DOI":"10.1016/j.edurev.2013.11.002","ISSN":"1747938X","abstract":"In this meta-analysis the results of studies on learning strategy instruction focused on improving self-regulated learning were brought together to determine which specific strategies were the most effective in increasing academic performance. The meta-analysis included 58 studies in primary and secondary education on interventions aimed at improving cognitive, metacognitive, and management strategy skills, as well as motivational aspects and metacognitive knowledge. A total of 95 interventions and 180 effect sizes demonstrated substantial effects in the domains of writing (Hedges' g= 1.25), science (.73), mathematics (.66) and comprehensive reading (.36). These domains differed in terms of which strategies were the most effective in improving academic performance. However, metacognitive knowledge instruction appeared to be valuable in all of them. Furthermore, it was found that the effects were higher when self-developed tests were used than in the case of intervention-independent tests. Finally, no differential effects were observed for students with different ability levels. To conclude, the authors have listed some implications of their analysis for the educational practice and made some suggestions for further research. © 2013 Elsevier Ltd.","author":[{"dropping-particle":"","family":"Donker","given":"A. S.","non-dropping-particle":"","parse-names":false,"suffix":""},{"dropping-particle":"","family":"Boer","given":"H.","non-dropping-particle":"de","parse-names":false,"suffix":""},{"dropping-particle":"","family":"Kostons","given":"D.","non-dropping-particle":"","parse-names":false,"suffix":""},{"dropping-particle":"","family":"Dignath van Ewijk","given":"C. C.","non-dropping-particle":"","parse-names":false,"suffix":""},{"dropping-particle":"","family":"Werf","given":"M. P.C.","non-dropping-particle":"van der","parse-names":false,"suffix":""}],"container-title":"Educational Research Review","id":"ITEM-1","issued":{"date-parts":[["2014"]]},"page":"1-26","publisher":"Elsevier Ltd","title":"Effectiveness of learning strategy instruction on academic performance: A meta-analysis","type":"article-journal","volume":"11"},"uris":["http://www.mendeley.com/documents/?uuid=0d6f5c7d-345e-49c5-bbbf-bd4757c7ce15"]}],"mendeley":{"formattedCitation":"[6]","plainTextFormattedCitation":"[6]","previouslyFormattedCitation":"[6]"},"properties":{"noteIndex":0},"schema":"https://github.com/citation-style-language/schema/raw/master/csl-citation.json"}</w:instrText>
      </w:r>
      <w:r>
        <w:fldChar w:fldCharType="separate"/>
      </w:r>
      <w:r w:rsidR="003C5E1E" w:rsidRPr="003C5E1E">
        <w:rPr>
          <w:noProof/>
        </w:rPr>
        <w:t>[6]</w:t>
      </w:r>
      <w:r>
        <w:fldChar w:fldCharType="end"/>
      </w:r>
      <w:r w:rsidRPr="007B7BEF">
        <w:t xml:space="preserve">. </w:t>
      </w:r>
      <w:r w:rsidRPr="000A2DBA">
        <w:t xml:space="preserve">Metacognition </w:t>
      </w:r>
      <w:r>
        <w:t xml:space="preserve">refers to the experience of mental awareness, i.e., </w:t>
      </w:r>
      <w:r w:rsidRPr="000A2DBA">
        <w:t xml:space="preserve">feelings, </w:t>
      </w:r>
      <w:r>
        <w:t xml:space="preserve">thoughts, and awareness </w:t>
      </w:r>
      <w:r w:rsidR="00B317FE">
        <w:fldChar w:fldCharType="begin" w:fldLock="1"/>
      </w:r>
      <w:r w:rsidR="003C5E1E">
        <w:instrText>ADDIN CSL_CITATION {"citationItems":[{"id":"ITEM-1","itemData":{"DOI":"10.1016/j.jpsychires.2023.02.023","ISSN":"18791379","abstract":"Metacognition and Insight are related to hard-to-treat disorders and among them is Borderline Personality Disorder (BPD). We recruited 190 BPD patients and measured Insight, Metacognition, Impulsivity, and BPD traits. Results showed BPD's significant links with Insight and Metacognition. Metacognition significantly correlated with two Impulsivity dimensions, whereas Insight significantly correlated with most of them. Regressions analysis revealed a significant relationship between Insight and Metacognition on Impulsivity and Borderline traits. Mediation analysis proved the indirect effect of Metacognition/Insight on Borderline traits through Impulsivity at a significative level. Both seem relevant for research and therapeutic application in BPD following different dynamics even if the limitation of our study stands in its gender ratio and possible comorbidity issues. Urgency appears as a critical factor to assess, notably with Positive emotion-based impulsivity.","author":[{"dropping-particle":"","family":"Martin","given":"Sylvia","non-dropping-particle":"","parse-names":false,"suffix":""},{"dropping-particle":"","family":"Del-Monte","given":"Jonathan","non-dropping-particle":"","parse-names":false,"suffix":""}],"container-title":"Journal of Psychiatric Research","id":"ITEM-1","issued":{"date-parts":[["2023"]]},"page":"225-231","publisher":"Elsevier Ltd","title":"Metacognition and insight dynamics exploration in borderline personality disorder: Exploring the underlying dynamics","type":"article-journal","volume":"160"},"uris":["http://www.mendeley.com/documents/?uuid=76120e84-d83d-47b1-9ed1-6fa751009380"]}],"mendeley":{"formattedCitation":"[7]","plainTextFormattedCitation":"[7]","previouslyFormattedCitation":"[7]"},"properties":{"noteIndex":0},"schema":"https://github.com/citation-style-language/schema/raw/master/csl-citation.json"}</w:instrText>
      </w:r>
      <w:r w:rsidR="00B317FE">
        <w:fldChar w:fldCharType="separate"/>
      </w:r>
      <w:r w:rsidR="003C5E1E" w:rsidRPr="003C5E1E">
        <w:rPr>
          <w:noProof/>
        </w:rPr>
        <w:t>[7]</w:t>
      </w:r>
      <w:r w:rsidR="00B317FE">
        <w:fldChar w:fldCharType="end"/>
      </w:r>
      <w:r>
        <w:fldChar w:fldCharType="begin" w:fldLock="1"/>
      </w:r>
      <w:r w:rsidR="003C5E1E">
        <w:instrText>ADDIN CSL_CITATION {"citationItems":[{"id":"ITEM-1","itemData":{"DOI":"10.1016/j.jpsychires.2023.02.023","ISSN":"18791379","abstract":"Metacognition and Insight are related to hard-to-treat disorders and among them is Borderline Personality Disorder (BPD). We recruited 190 BPD patients and measured Insight, Metacognition, Impulsivity, and BPD traits. Results showed BPD's significant links with Insight and Metacognition. Metacognition significantly correlated with two Impulsivity dimensions, whereas Insight significantly correlated with most of them. Regressions analysis revealed a significant relationship between Insight and Metacognition on Impulsivity and Borderline traits. Mediation analysis proved the indirect effect of Metacognition/Insight on Borderline traits through Impulsivity at a significative level. Both seem relevant for research and therapeutic application in BPD following different dynamics even if the limitation of our study stands in its gender ratio and possible comorbidity issues. Urgency appears as a critical factor to assess, notably with Positive emotion-based impulsivity.","author":[{"dropping-particle":"","family":"Martin","given":"Sylvia","non-dropping-particle":"","parse-names":false,"suffix":""},{"dropping-particle":"","family":"Del-Monte","given":"Jonathan","non-dropping-particle":"","parse-names":false,"suffix":""}],"container-title":"Journal of Psychiatric Research","id":"ITEM-1","issued":{"date-parts":[["2023"]]},"page":"225-231","publisher":"Elsevier Ltd","title":"Metacognition and insight dynamics exploration in borderline personality disorder: Exploring the underlying dynamics","type":"article-journal","volume":"160"},"uris":["http://www.mendeley.com/documents/?uuid=76120e84-d83d-47b1-9ed1-6fa751009380"]}],"mendeley":{"formattedCitation":"[7]","manualFormatting":".","plainTextFormattedCitation":"[7]","previouslyFormattedCitation":"[7]"},"properties":{"noteIndex":0},"schema":"https://github.com/citation-style-language/schema/raw/master/csl-citation.json"}</w:instrText>
      </w:r>
      <w:r>
        <w:fldChar w:fldCharType="separate"/>
      </w:r>
      <w:r w:rsidRPr="00640D69">
        <w:rPr>
          <w:noProof/>
        </w:rPr>
        <w:t>.</w:t>
      </w:r>
      <w:r>
        <w:fldChar w:fldCharType="end"/>
      </w:r>
      <w:r>
        <w:t xml:space="preserve"> </w:t>
      </w:r>
      <w:r w:rsidRPr="00E9218E">
        <w:t xml:space="preserve">Various studies make strong claims for the importance of metacognition in </w:t>
      </w:r>
      <w:r>
        <w:t xml:space="preserve">student learning. </w:t>
      </w:r>
      <w:r w:rsidR="0007770C">
        <w:t>M</w:t>
      </w:r>
      <w:r>
        <w:t xml:space="preserve">etacognition contributes about 17% </w:t>
      </w:r>
      <w:r w:rsidRPr="00E9218E">
        <w:t xml:space="preserve">to </w:t>
      </w:r>
      <w:r>
        <w:t xml:space="preserve">students' </w:t>
      </w:r>
      <w:r w:rsidRPr="00E9218E">
        <w:t xml:space="preserve">success in school, while </w:t>
      </w:r>
      <w:r>
        <w:t>intelligence contributes about 10%</w:t>
      </w:r>
      <w:r w:rsidR="009661C3">
        <w:t xml:space="preserve"> </w:t>
      </w:r>
      <w:r w:rsidR="009661C3">
        <w:fldChar w:fldCharType="begin" w:fldLock="1"/>
      </w:r>
      <w:r w:rsidR="009661C3">
        <w:instrText>ADDIN CSL_CITATION {"citationItems":[{"id":"ITEM-1","itemData":{"DOI":"10.1007/s11409-006-6893-0","ISBN":"1140900668","ISSN":"15561623","author":[{"dropping-particle":"","family":"Veenman","given":"Marcel V.J.","non-dropping-particle":"","parse-names":false,"suffix":""},{"dropping-particle":"","family":"Hout-Wolters","given":"Bernadette H.A.M.","non-dropping-particle":"Van","parse-names":false,"suffix":""},{"dropping-particle":"","family":"Afflerbach","given":"Peter","non-dropping-particle":"","parse-names":false,"suffix":""}],"container-title":"Metacognition and Learning","id":"ITEM-1","issue":"1","issued":{"date-parts":[["2006"]]},"page":"3-14","title":"Metacognition and learning: Conceptual and methodological considerations","type":"article-journal","volume":"1"},"uris":["http://www.mendeley.com/documents/?uuid=43f259ca-f7f4-497a-9102-a3577830c03a"]}],"mendeley":{"formattedCitation":"[3]","plainTextFormattedCitation":"[3]","previouslyFormattedCitation":"[3]"},"properties":{"noteIndex":0},"schema":"https://github.com/citation-style-language/schema/raw/master/csl-citation.json"}</w:instrText>
      </w:r>
      <w:r w:rsidR="009661C3">
        <w:fldChar w:fldCharType="separate"/>
      </w:r>
      <w:r w:rsidR="009661C3" w:rsidRPr="009661C3">
        <w:rPr>
          <w:noProof/>
        </w:rPr>
        <w:t>[3]</w:t>
      </w:r>
      <w:r w:rsidR="009661C3">
        <w:fldChar w:fldCharType="end"/>
      </w:r>
      <w:r>
        <w:t xml:space="preserve">. This </w:t>
      </w:r>
      <w:r w:rsidRPr="00E9218E">
        <w:t xml:space="preserve">significant statistic, </w:t>
      </w:r>
      <w:r>
        <w:t xml:space="preserve">clearly shows the </w:t>
      </w:r>
      <w:r w:rsidRPr="00E9218E">
        <w:t>need for schools to teach metacognitive skills effectively</w:t>
      </w:r>
      <w:r w:rsidR="009661C3">
        <w:t xml:space="preserve"> </w:t>
      </w:r>
      <w:r w:rsidR="009661C3">
        <w:fldChar w:fldCharType="begin" w:fldLock="1"/>
      </w:r>
      <w:r w:rsidR="003C5E1E">
        <w:instrText>ADDIN CSL_CITATION {"citationItems":[{"id":"ITEM-1","itemData":{"DOI":"10.1080/09243453.2014.885451","ISSN":"09243453","abstract":"One of the key findings from decades of educational effectiveness research is the importance of the classroom level as a predictor of pupil outcomes. In this review, we therefore look at synthesising our best evidence from research on effective teaching, and its corollary, teacher development. In the 1st section, we will look at key findings from 35 years of research on effective teaching using a process-product research that has led to the identification of a range of behaviours which are positively related to student achievement. A key limitation of this research, however, is its focus on basic skills in English and maths. Therefore, in the 2nd section we review research on \"new learning\" and teaching for metacognitive and thinking skills. While in these 2 sections we have discussed key findings from research on teaching, including emerging knowledge on metacognition, it is important to continue to take into account ongoing developments in theories of learning. In the 3rd section of this paper, we develop the argument that a major contributing factor to this situation is that \"state-of-the-art\" understandings about processes and conditions that promote student learning are typically not used to construct appropriate learning environments for their teachers. © 2014 Taylor &amp; Francis.","author":[{"dropping-particle":"","family":"Muijs","given":"Daniel","non-dropping-particle":"","parse-names":false,"suffix":""},{"dropping-particle":"","family":"Kyriakides","given":"Leonidas","non-dropping-particle":"","parse-names":false,"suffix":""},{"dropping-particle":"","family":"Werf","given":"Greetje","non-dropping-particle":"van der","parse-names":false,"suffix":""},{"dropping-particle":"","family":"Creemers","given":"Bert","non-dropping-particle":"","parse-names":false,"suffix":""},{"dropping-particle":"","family":"Timperley","given":"Helen","non-dropping-particle":"","parse-names":false,"suffix":""},{"dropping-particle":"","family":"Earl","given":"Lorna","non-dropping-particle":"","parse-names":false,"suffix":""}],"container-title":"School Effectiveness and School Improvement","id":"ITEM-1","issue":"2","issued":{"date-parts":[["2014"]]},"page":"231-256","title":"State of the art - teacher effectiveness and professional learning","type":"article-journal","volume":"25"},"uris":["http://www.mendeley.com/documents/?uuid=c8618025-177c-4f04-90f5-9e102264b731"]}],"mendeley":{"formattedCitation":"[8]","plainTextFormattedCitation":"[8]","previouslyFormattedCitation":"[8]"},"properties":{"noteIndex":0},"schema":"https://github.com/citation-style-language/schema/raw/master/csl-citation.json"}</w:instrText>
      </w:r>
      <w:r w:rsidR="009661C3">
        <w:fldChar w:fldCharType="separate"/>
      </w:r>
      <w:r w:rsidR="003C5E1E" w:rsidRPr="003C5E1E">
        <w:rPr>
          <w:noProof/>
        </w:rPr>
        <w:t>[8]</w:t>
      </w:r>
      <w:r w:rsidR="009661C3">
        <w:fldChar w:fldCharType="end"/>
      </w:r>
      <w:r>
        <w:t>.</w:t>
      </w:r>
    </w:p>
    <w:p w14:paraId="7DD322CE" w14:textId="43BFCF26" w:rsidR="00110F7A" w:rsidRDefault="00110F7A" w:rsidP="00110F7A">
      <w:pPr>
        <w:ind w:firstLine="709"/>
        <w:jc w:val="both"/>
      </w:pPr>
      <w:r w:rsidRPr="008A7396">
        <w:t xml:space="preserve">Metacognition was first coined by psychologist John </w:t>
      </w:r>
      <w:proofErr w:type="spellStart"/>
      <w:r w:rsidRPr="008A7396">
        <w:t>Flavell</w:t>
      </w:r>
      <w:proofErr w:type="spellEnd"/>
      <w:r w:rsidRPr="008A7396">
        <w:t xml:space="preserve"> (1979). According to </w:t>
      </w:r>
      <w:proofErr w:type="spellStart"/>
      <w:r w:rsidRPr="008A7396">
        <w:t>Flavell</w:t>
      </w:r>
      <w:proofErr w:type="spellEnd"/>
      <w:r w:rsidRPr="008A7396">
        <w:t xml:space="preserve"> (1979), metacognition is the process of becoming aware of and being able to control one's thought processes. </w:t>
      </w:r>
      <w:r>
        <w:t xml:space="preserve">It </w:t>
      </w:r>
      <w:r w:rsidRPr="008A7396">
        <w:t xml:space="preserve">involves recognizing and monitoring one's own cognitive activities and </w:t>
      </w:r>
      <w:r>
        <w:t xml:space="preserve">activities </w:t>
      </w:r>
      <w:r w:rsidRPr="008A7396">
        <w:t xml:space="preserve">as </w:t>
      </w:r>
      <w:r>
        <w:t xml:space="preserve">needed. It means that individuals </w:t>
      </w:r>
      <w:r w:rsidRPr="008A7396">
        <w:t xml:space="preserve">with strong metacognitive skills can self-assess </w:t>
      </w:r>
      <w:r>
        <w:t>and self-evaluate. The goal is improv</w:t>
      </w:r>
      <w:r w:rsidRPr="008A7396">
        <w:t xml:space="preserve">ing, </w:t>
      </w:r>
      <w:r w:rsidRPr="008A7396">
        <w:lastRenderedPageBreak/>
        <w:t xml:space="preserve">analyzing one's information processing, and adjusting one's learning and </w:t>
      </w:r>
      <w:r>
        <w:t>problem-solving</w:t>
      </w:r>
      <w:r w:rsidRPr="008A7396">
        <w:t xml:space="preserve"> approaches </w:t>
      </w:r>
      <w:r>
        <w:t xml:space="preserve">accordingly </w:t>
      </w:r>
      <w:r>
        <w:fldChar w:fldCharType="begin" w:fldLock="1"/>
      </w:r>
      <w:r w:rsidR="003C5E1E">
        <w:instrText>ADDIN CSL_CITATION {"citationItems":[{"id":"ITEM-1","itemData":{"DOI":"10.1093/nq/CLVII.dec14.424-a","ISSN":"00293970","author":[{"dropping-particle":"","family":"FLAVELL","given":"JOHN H.","non-dropping-particle":"","parse-names":false,"suffix":""}],"container-title":"AMERICAN PSYCHOLOGIST","id":"ITEM-1","issue":"10","issued":{"date-parts":[["1979"]]},"page":"906-911","title":"Metacognition and Cognitive Monitoring A New Area of Cognitive—Developmental Inquiry","type":"article-journal","volume":"34"},"uris":["http://www.mendeley.com/documents/?uuid=580215b7-59ab-4d56-a2c2-a61ed74159a4"]}],"mendeley":{"formattedCitation":"[9]","plainTextFormattedCitation":"[9]","previouslyFormattedCitation":"[9]"},"properties":{"noteIndex":0},"schema":"https://github.com/citation-style-language/schema/raw/master/csl-citation.json"}</w:instrText>
      </w:r>
      <w:r>
        <w:fldChar w:fldCharType="separate"/>
      </w:r>
      <w:r w:rsidR="003C5E1E" w:rsidRPr="003C5E1E">
        <w:rPr>
          <w:noProof/>
        </w:rPr>
        <w:t>[9]</w:t>
      </w:r>
      <w:r>
        <w:fldChar w:fldCharType="end"/>
      </w:r>
      <w:r w:rsidRPr="008A7396">
        <w:t>.</w:t>
      </w:r>
    </w:p>
    <w:p w14:paraId="27EB41E2" w14:textId="7218D59D" w:rsidR="00110F7A" w:rsidRDefault="00110F7A" w:rsidP="00110F7A">
      <w:pPr>
        <w:ind w:firstLine="709"/>
        <w:jc w:val="both"/>
      </w:pPr>
      <w:r w:rsidRPr="004D2619">
        <w:t xml:space="preserve">Supporting the development of metacognition is a </w:t>
      </w:r>
      <w:r>
        <w:t xml:space="preserve">powerful </w:t>
      </w:r>
      <w:r w:rsidRPr="004D2619">
        <w:t xml:space="preserve">way </w:t>
      </w:r>
      <w:r>
        <w:t>to promote student success</w:t>
      </w:r>
      <w:r w:rsidRPr="004D2619">
        <w:t xml:space="preserve">. Students with </w:t>
      </w:r>
      <w:r>
        <w:t xml:space="preserve">strong </w:t>
      </w:r>
      <w:r w:rsidRPr="004D2619">
        <w:t xml:space="preserve">metacognitive skills </w:t>
      </w:r>
      <w:r>
        <w:t xml:space="preserve">are positioned to learn </w:t>
      </w:r>
      <w:r w:rsidRPr="004D2619">
        <w:t xml:space="preserve">more and perform better than peers still </w:t>
      </w:r>
      <w:r>
        <w:t xml:space="preserve">developing their metacognition. </w:t>
      </w:r>
      <w:r w:rsidRPr="004D2619">
        <w:t xml:space="preserve">Students with </w:t>
      </w:r>
      <w:r>
        <w:t>well-developed</w:t>
      </w:r>
      <w:r w:rsidRPr="004D2619">
        <w:t xml:space="preserve"> metacognition </w:t>
      </w:r>
      <w:r>
        <w:t xml:space="preserve">can identify </w:t>
      </w:r>
      <w:r w:rsidRPr="004D2619">
        <w:t xml:space="preserve">their </w:t>
      </w:r>
      <w:r>
        <w:t xml:space="preserve">concepts </w:t>
      </w:r>
      <w:r w:rsidRPr="004D2619">
        <w:t xml:space="preserve">and choose appropriate strategies to learn those concepts. Metacognition allows students to become more skillful in thinking and more effective and efficient in their learning. When </w:t>
      </w:r>
      <w:r>
        <w:t xml:space="preserve">working together in small groups, </w:t>
      </w:r>
      <w:r w:rsidRPr="004D2619">
        <w:t xml:space="preserve">students can also stimulate each other's metacognition, leading to </w:t>
      </w:r>
      <w:r>
        <w:t>better</w:t>
      </w:r>
      <w:r w:rsidRPr="004D2619">
        <w:t xml:space="preserve"> results</w:t>
      </w:r>
      <w:r w:rsidR="00D348BD">
        <w:t xml:space="preserve"> </w:t>
      </w:r>
      <w:r w:rsidR="00D348BD">
        <w:fldChar w:fldCharType="begin" w:fldLock="1"/>
      </w:r>
      <w:r w:rsidR="003C5E1E">
        <w:instrText>ADDIN CSL_CITATION {"citationItems":[{"id":"ITEM-1","itemData":{"DOI":"10.1187/cbe.20-12-0289","ISSN":"19317913","PMID":"33797282","abstract":"Metacognition is awareness and control of thinking for learning. Strong metacognitive skills have the power to impact student learning and performance. While metacognition can develop over time with practice, many students struggle to meaningfully engage in metacognitive processes. In an evidence-based teaching guide associated with this paper (https://lse.ascb.org/evidence-based-teaching-guides/student-metacognition), we outline the reasons metacognition is critical for learning and summarize relevant research on this topic. We focus on three main areas in which faculty can foster students’ metacognition: supporting student learning strategies (i.e., study skills), encouraging monitoring and control of learning, and promoting social metacognition during group work. We distill insights from key papers into general recommendations for instruction, as well as a special list of four recommendations that instructors can implement in any course. We encourage both instructors and researchers to target metacognition to help students improve their learning and performance.","author":[{"dropping-particle":"","family":"Stanton","given":"Julie Dangremond","non-dropping-particle":"","parse-names":false,"suffix":""},{"dropping-particle":"","family":"Sebesta","given":"Amanda J.","non-dropping-particle":"","parse-names":false,"suffix":""},{"dropping-particle":"","family":"Dunlosky","given":"John","non-dropping-particle":"","parse-names":false,"suffix":""}],"container-title":"CBE Life Sciences Education","id":"ITEM-1","issue":"2","issued":{"date-parts":[["2021"]]},"page":"1-7","title":"Fostering metacognition to support student learning and performance","type":"article-journal","volume":"20"},"uris":["http://www.mendeley.com/documents/?uuid=cb493118-3b03-4030-945d-9f132a24a356"]}],"mendeley":{"formattedCitation":"[10]","plainTextFormattedCitation":"[10]","previouslyFormattedCitation":"[10]"},"properties":{"noteIndex":0},"schema":"https://github.com/citation-style-language/schema/raw/master/csl-citation.json"}</w:instrText>
      </w:r>
      <w:r w:rsidR="00D348BD">
        <w:fldChar w:fldCharType="separate"/>
      </w:r>
      <w:r w:rsidR="003C5E1E" w:rsidRPr="003C5E1E">
        <w:rPr>
          <w:noProof/>
        </w:rPr>
        <w:t>[10]</w:t>
      </w:r>
      <w:r w:rsidR="00D348BD">
        <w:fldChar w:fldCharType="end"/>
      </w:r>
      <w:r>
        <w:t xml:space="preserve"> </w:t>
      </w:r>
      <w:r>
        <w:fldChar w:fldCharType="begin" w:fldLock="1"/>
      </w:r>
      <w:r w:rsidR="003C5E1E">
        <w:instrText>ADDIN CSL_CITATION {"citationItems":[{"id":"ITEM-1","itemData":{"DOI":"10.1187/cbe.20-12-0289","ISSN":"19317913","PMID":"33797282","abstract":"Metacognition is awareness and control of thinking for learning. Strong metacognitive skills have the power to impact student learning and performance. While metacognition can develop over time with practice, many students struggle to meaningfully engage in metacognitive processes. In an evidence-based teaching guide associated with this paper (https://lse.ascb.org/evidence-based-teaching-guides/student-metacognition), we outline the reasons metacognition is critical for learning and summarize relevant research on this topic. We focus on three main areas in which faculty can foster students’ metacognition: supporting student learning strategies (i.e., study skills), encouraging monitoring and control of learning, and promoting social metacognition during group work. We distill insights from key papers into general recommendations for instruction, as well as a special list of four recommendations that instructors can implement in any course. We encourage both instructors and researchers to target metacognition to help students improve their learning and performance.","author":[{"dropping-particle":"","family":"Stanton","given":"Julie Dangremond","non-dropping-particle":"","parse-names":false,"suffix":""},{"dropping-particle":"","family":"Sebesta","given":"Amanda J.","non-dropping-particle":"","parse-names":false,"suffix":""},{"dropping-particle":"","family":"Dunlosky","given":"John","non-dropping-particle":"","parse-names":false,"suffix":""}],"container-title":"CBE Life Sciences Education","id":"ITEM-1","issue":"2","issued":{"date-parts":[["2021"]]},"page":"1-7","title":"Fostering metacognition to support student learning and performance","type":"article-journal","volume":"20"},"uris":["http://www.mendeley.com/documents/?uuid=cb493118-3b03-4030-945d-9f132a24a356"]}],"mendeley":{"formattedCitation":"[10]","manualFormatting":".","plainTextFormattedCitation":"[10]","previouslyFormattedCitation":"[10]"},"properties":{"noteIndex":0},"schema":"https://github.com/citation-style-language/schema/raw/master/csl-citation.json"}</w:instrText>
      </w:r>
      <w:r>
        <w:fldChar w:fldCharType="separate"/>
      </w:r>
      <w:r w:rsidRPr="004D2619">
        <w:rPr>
          <w:noProof/>
        </w:rPr>
        <w:t>.</w:t>
      </w:r>
      <w:r>
        <w:fldChar w:fldCharType="end"/>
      </w:r>
      <w:r>
        <w:t xml:space="preserve"> </w:t>
      </w:r>
      <w:r w:rsidRPr="001601D3">
        <w:t xml:space="preserve">Metacognition has gained prominence in cognitive science and education over the </w:t>
      </w:r>
      <w:r>
        <w:t>past</w:t>
      </w:r>
      <w:r w:rsidRPr="001601D3">
        <w:t xml:space="preserve"> 50 years </w:t>
      </w:r>
      <w:r>
        <w:t xml:space="preserve">due to its association with </w:t>
      </w:r>
      <w:r w:rsidRPr="001601D3">
        <w:t xml:space="preserve">improved </w:t>
      </w:r>
      <w:r>
        <w:t>individual</w:t>
      </w:r>
      <w:r w:rsidRPr="001601D3">
        <w:t xml:space="preserve"> learning</w:t>
      </w:r>
      <w:r>
        <w:t xml:space="preserve"> </w:t>
      </w:r>
      <w:r>
        <w:fldChar w:fldCharType="begin" w:fldLock="1"/>
      </w:r>
      <w:r w:rsidR="003C5E1E">
        <w:instrText>ADDIN CSL_CITATION {"citationItems":[{"id":"ITEM-1","itemData":{"DOI":"10.1187/cbe.12-03-0033","ISSN":"19317913","PMID":"22665584","author":[{"dropping-particle":"","family":"Tanner","given":"Kimberly D.","non-dropping-particle":"","parse-names":false,"suffix":""}],"container-title":"CBE life sciences education","id":"ITEM-1","issue":"2","issued":{"date-parts":[["2012"]]},"page":"113-120","title":"Promoting student metacognition.","type":"article-journal","volume":"11"},"uris":["http://www.mendeley.com/documents/?uuid=880f290b-d624-47d9-a38e-69f7348b8a6b"]}],"mendeley":{"formattedCitation":"[11]","plainTextFormattedCitation":"[11]","previouslyFormattedCitation":"[11]"},"properties":{"noteIndex":0},"schema":"https://github.com/citation-style-language/schema/raw/master/csl-citation.json"}</w:instrText>
      </w:r>
      <w:r>
        <w:fldChar w:fldCharType="separate"/>
      </w:r>
      <w:r w:rsidR="003C5E1E" w:rsidRPr="003C5E1E">
        <w:rPr>
          <w:noProof/>
        </w:rPr>
        <w:t>[11]</w:t>
      </w:r>
      <w:r>
        <w:fldChar w:fldCharType="end"/>
      </w:r>
      <w:r w:rsidRPr="001601D3">
        <w:t xml:space="preserve">. For example, students with stronger metacognitive skills learn more and perform better than their </w:t>
      </w:r>
      <w:r>
        <w:t>weak metacognitive</w:t>
      </w:r>
      <w:r w:rsidRPr="001601D3">
        <w:t xml:space="preserve"> peers</w:t>
      </w:r>
      <w:r>
        <w:t xml:space="preserve"> </w:t>
      </w:r>
      <w:r w:rsidR="00AD7CC5">
        <w:fldChar w:fldCharType="begin" w:fldLock="1"/>
      </w:r>
      <w:r w:rsidR="003C5E1E">
        <w:instrText>ADDIN CSL_CITATION {"citationItems":[{"id":"ITEM-1","itemData":{"DOI":"10.1187/cbe.22-01-0009","ISSN":"19317913","PMID":"35998162","abstract":"Stronger metacognition, or awareness and regulation of thinking, is related to higher academic achievement. Most metacognition research has focused at the level of the individual learner. However, a few studies have shown that students working in small groups can stimulate metacognition in one another, leading to improved learning. Given the increased adoption of interactive group work in life science classrooms, there is a need to study the role of social metacognition, or the awareness and regulation of the thinking of others, in this context. Guided by the frameworks of social metacognition and evidence-based reasoning, we asked: 1) What metacognitive utterances (words, phrases, statements, or questions) do students use during small-group problem solving in an upper-division biology course? 2) Which metacognitive utterances are associated with small groups sharing higher-quality reasoning in an upper-division biology classroom? We used discourse analysis to examine transcripts from two groups of three students during breakout sessions. By coding for metacognition, we identified seven types of metacognitive utterances. By coding for reasoning, we uncovered four categories of metacognitive utterances associated with higher-quality reasoning. We offer suggestions for life science educators interested in promoting social metacognition during small-group problem solving.","author":[{"dropping-particle":"","family":"Halmo","given":"Stephanie M.","non-dropping-particle":"","parse-names":false,"suffix":""},{"dropping-particle":"","family":"Bremers","given":"Emily K.","non-dropping-particle":"","parse-names":false,"suffix":""},{"dropping-particle":"","family":"Fuller","given":"Sammantha","non-dropping-particle":"","parse-names":false,"suffix":""},{"dropping-particle":"","family":"Stanton","given":"Julie Dangremond","non-dropping-particle":"","parse-names":false,"suffix":""}],"container-title":"CBE Life Sciences Education","id":"ITEM-1","issue":"3","issued":{"date-parts":[["2022"]]},"page":"1-20","title":"“Oh, that makes sense”: Social Metacognition in Small-Group Problem Solving","type":"article-journal","volume":"21"},"uris":["http://www.mendeley.com/documents/?uuid=eb0e1ef6-c0d0-49b4-8c3d-7a2fb5a09e0b"]}],"mendeley":{"formattedCitation":"[12]","plainTextFormattedCitation":"[12]","previouslyFormattedCitation":"[12]"},"properties":{"noteIndex":0},"schema":"https://github.com/citation-style-language/schema/raw/master/csl-citation.json"}</w:instrText>
      </w:r>
      <w:r w:rsidR="00AD7CC5">
        <w:fldChar w:fldCharType="separate"/>
      </w:r>
      <w:r w:rsidR="003C5E1E" w:rsidRPr="003C5E1E">
        <w:rPr>
          <w:noProof/>
        </w:rPr>
        <w:t>[12]</w:t>
      </w:r>
      <w:r w:rsidR="00AD7CC5">
        <w:fldChar w:fldCharType="end"/>
      </w:r>
      <w:r w:rsidR="00AD7CC5">
        <w:t>.</w:t>
      </w:r>
    </w:p>
    <w:p w14:paraId="074B371F" w14:textId="6AD5BDFD" w:rsidR="00110F7A" w:rsidRDefault="00110F7A" w:rsidP="00110F7A">
      <w:pPr>
        <w:ind w:firstLine="709"/>
        <w:jc w:val="both"/>
      </w:pPr>
      <w:r>
        <w:t xml:space="preserve">Metacognition </w:t>
      </w:r>
      <w:r w:rsidRPr="001819C6">
        <w:t xml:space="preserve">has a strong potential </w:t>
      </w:r>
      <w:r>
        <w:t xml:space="preserve">to </w:t>
      </w:r>
      <w:r w:rsidRPr="001819C6">
        <w:t xml:space="preserve">help students succeed in </w:t>
      </w:r>
      <w:r>
        <w:t xml:space="preserve">science learning </w:t>
      </w:r>
      <w:r>
        <w:fldChar w:fldCharType="begin" w:fldLock="1"/>
      </w:r>
      <w:r w:rsidR="003C5E1E">
        <w:instrText>ADDIN CSL_CITATION {"citationItems":[{"id":"ITEM-1","itemData":{"DOI":"10.1128/jmbe.v17i2.954","ISSN":"1935-7877","abstract":"Student overconfidence challenges success in introductory biology. This study examined the impact of classroom learning communities and self-assessment on student metacognition and subsequent impact on student epistemological beliefs, behaviors, and learning. Students wrote weekly self-assessments reflecting on the process of learning and received individual feedback. Students completed a learning strategies inventory focused on metacognition and study behaviors at the beginning and end of the semester and a Student Assessment of their Learning Gains (SALG) at the end of the semester. Results indicated significant changes in both metacognition and study behaviors over the course of the semester, with a positive impact on learning as determined by broad and singular measures. Self-assessments and SALG data demonstrated a change in student beliefs and behaviors. Taken together, these findings argue that classroom learning communities and self-assessment can increase student metacognition and change student epistemological beliefs and behaviors.","author":[{"dropping-particle":"","family":"Siegesmund","given":"Amy","non-dropping-particle":"","parse-names":false,"suffix":""}],"container-title":"Journal of Microbiology &amp; Biology Education","id":"ITEM-1","issue":"2","issued":{"date-parts":[["2016"]]},"page":"204-214","title":"Increasing Student Metacognition and Learning through Classroom-Based Learning Communities and Self-Assessment","type":"article-journal","volume":"17"},"uris":["http://www.mendeley.com/documents/?uuid=8db36aba-da4a-41fc-af30-d94af2b3d735"]}],"mendeley":{"formattedCitation":"[13]","plainTextFormattedCitation":"[13]","previouslyFormattedCitation":"[13]"},"properties":{"noteIndex":0},"schema":"https://github.com/citation-style-language/schema/raw/master/csl-citation.json"}</w:instrText>
      </w:r>
      <w:r>
        <w:fldChar w:fldCharType="separate"/>
      </w:r>
      <w:r w:rsidR="003C5E1E" w:rsidRPr="003C5E1E">
        <w:rPr>
          <w:noProof/>
        </w:rPr>
        <w:t>[13]</w:t>
      </w:r>
      <w:r>
        <w:fldChar w:fldCharType="end"/>
      </w:r>
      <w:r w:rsidRPr="001819C6">
        <w:t xml:space="preserve">. </w:t>
      </w:r>
      <w:r>
        <w:t xml:space="preserve">Students with strong metacognition </w:t>
      </w:r>
      <w:r w:rsidRPr="001819C6">
        <w:t xml:space="preserve">know how to choose and apply </w:t>
      </w:r>
      <w:r>
        <w:t>learning</w:t>
      </w:r>
      <w:r w:rsidRPr="001819C6">
        <w:t xml:space="preserve"> strategies </w:t>
      </w:r>
      <w:r>
        <w:t xml:space="preserve">and can solve problems to be successful in their studies </w:t>
      </w:r>
      <w:r>
        <w:fldChar w:fldCharType="begin" w:fldLock="1"/>
      </w:r>
      <w:r w:rsidR="003C5E1E">
        <w:instrText>ADDIN CSL_CITATION {"citationItems":[{"id":"ITEM-1","itemData":{"DOI":"10.1128/jmbe.v21i1.1715","ISSN":"1935-7877","abstract":" The objective of this study was to determine the relationship between learning strategies (LS) and problem solving (PS) in microbiology. Microbiology problems utilized for the study were from educational software known as “Interactive Multimedia Exercises” (IMMEX). Problem-solving performances measured included: the ability to solve, scores obtained and elapsed time. It was hypothesized that there would be a good correlation between students’ LS and PS. Since many factors besides learning strategies predict performance, alpha was set at 0.10. Participants ( N = 65) solved two sets of microbiology problems “Microquest” (Mq), which focuses on microbial cellular processes and mode of action of antibiotics, and “Creeping crud” (Cc), which focuses on the cause, origin, and transmission of diseases. Participants also responded to the adapted Motivated Strategy Learning Questionnaire (MSLQ) using a five-point Likert scale. Scores for LS were determined by averaging the item responses of participants. Regression analysis was used to determine significance, with Grade Point Average (GPA) as a control. Of the 65 participants 48 (73.8%) successfully solved Mq while 52 (80%) solved Cc. Metacognitive self-regulated strategy was significantly ( p &lt; 0.10) related to ability to solve Cc. Peer learning strategy showed a significant ( p &lt; 0.10) relationship with Cc scores. Time spent solving Cc was significantly more than time spent on Mq ( p &lt; 0.001). These findings emphasize the fact that metacognition and peer learning are positive predictors for problem solving and could potentially improve learning outcomes in microbiology. The implications for curriculum development are discussed. ","author":[{"dropping-particle":"","family":"Ebomoyi","given":"Josephine Itota","non-dropping-particle":"","parse-names":false,"suffix":""}],"container-title":"Journal of Microbiology &amp; Biology Education","id":"ITEM-1","issue":"1","issued":{"date-parts":[["2020"]]},"page":"1-9","title":"Metacognition and Peer Learning Strategies as Predictors in Problem-Solving Performance in Microbiology","type":"article-journal","volume":"21"},"uris":["http://www.mendeley.com/documents/?uuid=f139d213-29e2-4938-868f-d046d14e0a19"]}],"mendeley":{"formattedCitation":"[14]","plainTextFormattedCitation":"[14]","previouslyFormattedCitation":"[14]"},"properties":{"noteIndex":0},"schema":"https://github.com/citation-style-language/schema/raw/master/csl-citation.json"}</w:instrText>
      </w:r>
      <w:r>
        <w:fldChar w:fldCharType="separate"/>
      </w:r>
      <w:r w:rsidR="003C5E1E" w:rsidRPr="003C5E1E">
        <w:rPr>
          <w:noProof/>
        </w:rPr>
        <w:t>[14]</w:t>
      </w:r>
      <w:r>
        <w:fldChar w:fldCharType="end"/>
      </w:r>
      <w:r>
        <w:t xml:space="preserve">. Students </w:t>
      </w:r>
      <w:r w:rsidRPr="001819C6">
        <w:t xml:space="preserve">can also evaluate the effectiveness of </w:t>
      </w:r>
      <w:r>
        <w:t xml:space="preserve">their strategies as their overall plan and </w:t>
      </w:r>
      <w:r w:rsidRPr="001819C6">
        <w:t xml:space="preserve">use their </w:t>
      </w:r>
      <w:r>
        <w:t>evaluations to plan for future</w:t>
      </w:r>
      <w:r w:rsidRPr="001819C6">
        <w:t xml:space="preserve"> learning</w:t>
      </w:r>
      <w:r>
        <w:t xml:space="preserve"> </w:t>
      </w:r>
      <w:r>
        <w:fldChar w:fldCharType="begin" w:fldLock="1"/>
      </w:r>
      <w:r w:rsidR="003C5E1E">
        <w:instrText>ADDIN CSL_CITATION {"citationItems":[{"id":"ITEM-1","itemData":{"DOI":"10.1128/jmbe.v18i1.1212","ISSN":"1935-7877","abstract":"Many first-year biology students begin college with high aspirations but limited skills in terms of those needed for their success. Teachers are increasingly focused on students’ lack of metacognitive awareness combined with students’ inability to self-regulate learning behaviors. To address this need, we have designed a series of out-of-class assignments to provide explicit instruction on memory and learning. Our metacognition modules consist of six video assignments with reflective journaling prompts, allowing students to explore the relationship between the learning cycle, neuroplasticity, memory function, expert and novice thinking, and effective study strategies. By setting lessons on improving study behavior within a biological context, we help students grasp the reason for changing their behavior based on an understanding of biological functions and their application to learning. Students who complete these scaffolded journaling assignments show a shift toward a growth mindset and a consistent ability to evaluate the efficacy of their own study behaviors. In this article, we discuss the modules and student assignments, as well as provide in depth support for faculty who wish to adopt the modules for their own courses.","author":[{"dropping-particle":"","family":"Cardinale","given":"Jean A.","non-dropping-particle":"","parse-names":false,"suffix":""},{"dropping-particle":"","family":"Johnson","given":"Bethany C.","non-dropping-particle":"","parse-names":false,"suffix":""}],"container-title":"Journal of Microbiology &amp; Biology Education","id":"ITEM-1","issue":"1","issued":{"date-parts":[["2017"]]},"page":"1-8","title":"Metacognition Modules: A Scaffolded Series of Online Assignments Designed to Improve Students’ Study Skills","type":"article-journal","volume":"18"},"uris":["http://www.mendeley.com/documents/?uuid=951ae1ab-c0a9-4e09-b775-17cbe32acd9d"]}],"mendeley":{"formattedCitation":"[15]","plainTextFormattedCitation":"[15]","previouslyFormattedCitation":"[15]"},"properties":{"noteIndex":0},"schema":"https://github.com/citation-style-language/schema/raw/master/csl-citation.json"}</w:instrText>
      </w:r>
      <w:r>
        <w:fldChar w:fldCharType="separate"/>
      </w:r>
      <w:r w:rsidR="003C5E1E" w:rsidRPr="003C5E1E">
        <w:rPr>
          <w:noProof/>
        </w:rPr>
        <w:t>[15]</w:t>
      </w:r>
      <w:r>
        <w:fldChar w:fldCharType="end"/>
      </w:r>
      <w:r w:rsidRPr="001819C6">
        <w:t xml:space="preserve">. These abilities can positively impact </w:t>
      </w:r>
      <w:r>
        <w:t>learning and achievement</w:t>
      </w:r>
      <w:r w:rsidRPr="001819C6">
        <w:t xml:space="preserve">, but many students come to college without </w:t>
      </w:r>
      <w:r>
        <w:t>strong</w:t>
      </w:r>
      <w:r w:rsidRPr="001819C6">
        <w:t xml:space="preserve"> metacognitive abilities</w:t>
      </w:r>
      <w:r w:rsidR="0007017F">
        <w:t xml:space="preserve"> </w:t>
      </w:r>
      <w:r w:rsidR="0007017F">
        <w:fldChar w:fldCharType="begin" w:fldLock="1"/>
      </w:r>
      <w:r w:rsidR="003C5E1E">
        <w:instrText>ADDIN CSL_CITATION {"citationItems":[{"id":"ITEM-1","itemData":{"DOI":"10.1037/edu0000022","ISSN":"19392176","abstract":"Prior studies have not tested whether an instructional intervention aimed at improving metacognitive skills results in changes to student metacognition, motivation, learning, and future learning in the classroom. We examined whether a 6-hr intervention designed to teach the declarative and procedural components of planning, monitoring, and evaluation could increase students'metacognition, motivation, learning, and preparation for future learning for middle school science. Forty-six eighth-grade students were randomly assigned to either a control group, which received extensive problem-solving practice, or an experimental group, which received more limited problem-solving practice along with metacognitive instruction and training. Results revealed that those who received the metacognitive instruction and training were less biased when making metacognitive judgments, p = .03, d = 0.65, endorsed higher levels of motivation after instruction (e.g., there was a large effect on task value, p = .006, d = 0.87), performed better on a conceptual physics test, p = .03, d = 0.64, and performed better on a novel self-guided learning activity, p = .007, d = 0.87. This study demonstrates that metacognitive instruction can lead to better self-regulated learning outcomes during adolescence, a period in which students'academic achievement and motivation often decline.","author":[{"dropping-particle":"","family":"Zepeda","given":"Cristina D.","non-dropping-particle":"","parse-names":false,"suffix":""},{"dropping-particle":"","family":"Elizabeth Richey","given":"J.","non-dropping-particle":"","parse-names":false,"suffix":""},{"dropping-particle":"","family":"Ronevich","given":"Paul","non-dropping-particle":"","parse-names":false,"suffix":""},{"dropping-particle":"","family":"Nokes-Malach","given":"Timothy J.","non-dropping-particle":"","parse-names":false,"suffix":""}],"container-title":"Journal of Educational Psychology","id":"ITEM-1","issue":"4","issued":{"date-parts":[["2015"]]},"page":"954-970","title":"Direct instruction of metacognition benefits adolescent science learning, transfer, and motivation: An in vivo study","type":"article-journal","volume":"107"},"uris":["http://www.mendeley.com/documents/?uuid=3e88c18d-7d7e-4a90-8883-1049ebfcd508"]}],"mendeley":{"formattedCitation":"[16]","plainTextFormattedCitation":"[16]","previouslyFormattedCitation":"[16]"},"properties":{"noteIndex":0},"schema":"https://github.com/citation-style-language/schema/raw/master/csl-citation.json"}</w:instrText>
      </w:r>
      <w:r w:rsidR="0007017F">
        <w:fldChar w:fldCharType="separate"/>
      </w:r>
      <w:r w:rsidR="003C5E1E" w:rsidRPr="003C5E1E">
        <w:rPr>
          <w:noProof/>
        </w:rPr>
        <w:t>[16]</w:t>
      </w:r>
      <w:r w:rsidR="0007017F">
        <w:fldChar w:fldCharType="end"/>
      </w:r>
      <w:r w:rsidR="0007017F">
        <w:t xml:space="preserve">. </w:t>
      </w:r>
      <w:r w:rsidRPr="001819C6">
        <w:t xml:space="preserve">To help biological </w:t>
      </w:r>
      <w:r>
        <w:t xml:space="preserve">science </w:t>
      </w:r>
      <w:r w:rsidRPr="001819C6">
        <w:t xml:space="preserve">undergraduates develop these skills, </w:t>
      </w:r>
      <w:r>
        <w:t xml:space="preserve">lecturers </w:t>
      </w:r>
      <w:r w:rsidRPr="001819C6">
        <w:t xml:space="preserve">must understand how students' metacognition may change in </w:t>
      </w:r>
      <w:r>
        <w:t xml:space="preserve">college </w:t>
      </w:r>
      <w:r>
        <w:fldChar w:fldCharType="begin" w:fldLock="1"/>
      </w:r>
      <w:r w:rsidR="003C5E1E">
        <w:instrText>ADDIN CSL_CITATION {"citationItems":[{"id":"ITEM-1","itemData":{"DOI":"10.1128/jmbe.v20i2.1791","ISSN":"1935-7877","abstract":"Metacognitive reflections embedded in course activities allow students to evaluate their learning immediately following the activities themselves, while providing instructors the opportunity to revise and optimize instruction to target misconceptions. This activity, “Histology Personal Trainer” helps students not only identify major tissue types, but reflect on how they identified them. This activity aims to improve student performance by exercising the students’ observation and comparative skills in combination with a self-reflection activity that helps to identify successful and unsuccessful identification strategies. By the end of the activity, students should be able to adapt their approach to obtain more accurate answers. This activity was used in an anatomy and physiology course, but could be modified for use in various STEM classes.","author":[{"dropping-particle":"","family":"Vemu","given":"Sheela","non-dropping-particle":"","parse-names":false,"suffix":""},{"dropping-particle":"","family":"Basta","given":"Holly","non-dropping-particle":"","parse-names":false,"suffix":""},{"dropping-particle":"","family":"Cole","given":"Deborah Catherine","non-dropping-particle":"","parse-names":false,"suffix":""}],"container-title":"Journal of Microbiology &amp; Biology Education","id":"ITEM-1","issue":"2","issued":{"date-parts":[["2019"]]},"page":"1-3","title":"Histology Personal Trainer: Identifying Tissue Types Using Critical Thinking and Metacognition Prompts","type":"article-journal","volume":"20"},"uris":["http://www.mendeley.com/documents/?uuid=6130403a-51d4-4fa1-acd4-c732028c0efc"]}],"mendeley":{"formattedCitation":"[17]","plainTextFormattedCitation":"[17]","previouslyFormattedCitation":"[17]"},"properties":{"noteIndex":0},"schema":"https://github.com/citation-style-language/schema/raw/master/csl-citation.json"}</w:instrText>
      </w:r>
      <w:r>
        <w:fldChar w:fldCharType="separate"/>
      </w:r>
      <w:r w:rsidR="003C5E1E" w:rsidRPr="003C5E1E">
        <w:rPr>
          <w:noProof/>
        </w:rPr>
        <w:t>[17]</w:t>
      </w:r>
      <w:r>
        <w:fldChar w:fldCharType="end"/>
      </w:r>
      <w:r>
        <w:t xml:space="preserve">. One way this can be done is </w:t>
      </w:r>
      <w:r w:rsidRPr="001819C6">
        <w:t xml:space="preserve">by comparing the use of metacognitive regulation skills in junior and </w:t>
      </w:r>
      <w:r>
        <w:t xml:space="preserve">senior science </w:t>
      </w:r>
      <w:r w:rsidRPr="001819C6">
        <w:t>students</w:t>
      </w:r>
      <w:r>
        <w:t xml:space="preserve"> </w:t>
      </w:r>
      <w:r>
        <w:fldChar w:fldCharType="begin" w:fldLock="1"/>
      </w:r>
      <w:r w:rsidR="003C5E1E">
        <w:instrText>ADDIN CSL_CITATION {"citationItems":[{"id":"ITEM-1","itemData":{"DOI":"10.1128/jmbe.v19i1.1324","ISSN":"1935-7877","abstract":"This study explores the impacts of repeated curricular activities designed to promote metacognitive skills development and academic achievement on students in an introductory biology course. Prior to this study, the course curriculum was enhanced with pre-assignments containing comprehension monitoring and self-evaluation questions, exam review assignments with reflective questions related to study habits, and an optional opportunity for students to explore metacognition and deep versus surface learning. We used a mixed-methods study design and collected data over two semesters. Self-evaluation, a component of metacognition, was measured via exam score postdictions, in which students estimated their exam scores after completing their exam. Metacognitive awareness was assessed using the Metacognitive Awareness Inventory (MAI) and a reflective essay designed to gauge students’ perceptions of their metacognitive skills and study habits. In both semesters, more students over-predicted their Exam 1 scores than under-predicted, and statistical tests revealed significantly lower mean exam scores for the over-predictors. By Exam 3, under-predictors still scored significantly higher on the exam, but they outnumbered the over-predictors. Lower-performing students also displayed a significant increase in exam postdiction accuracy by Exam 3. While there was no significant difference in students’ MAI scores from the beginning to the end of the semester, qualitative analysis of reflective essays indicated that students benefitted from the assignments and could articulate clear action plans to improve their learning and performance. Our findings suggest that assignments designed to promote metacognition can have an impact on students over the course of one semester and may provide the greatest benefits to lower-performing students.","author":[{"dropping-particle":"V.","family":"Dang","given":"Nathan","non-dropping-particle":"","parse-names":false,"suffix":""},{"dropping-particle":"","family":"Chiang","given":"Jacob C.","non-dropping-particle":"","parse-names":false,"suffix":""},{"dropping-particle":"","family":"Brown","given":"Heather M.","non-dropping-particle":"","parse-names":false,"suffix":""},{"dropping-particle":"","family":"McDonald","given":"Kelly K.","non-dropping-particle":"","parse-names":false,"suffix":""}],"container-title":"Journal of Microbiology &amp; Biology Education","id":"ITEM-1","issue":"1","issued":{"date-parts":[["2018"]]},"page":"1-9","title":"Curricular Activities that Promote Metacognitive Skills Impact Lower-Performing Students in an Introductory Biology Course","type":"article-journal","volume":"19"},"uris":["http://www.mendeley.com/documents/?uuid=e9c5d268-d14a-4124-a4c8-7e1ea479f3b1"]}],"mendeley":{"formattedCitation":"[18]","plainTextFormattedCitation":"[18]","previouslyFormattedCitation":"[18]"},"properties":{"noteIndex":0},"schema":"https://github.com/citation-style-language/schema/raw/master/csl-citation.json"}</w:instrText>
      </w:r>
      <w:r>
        <w:fldChar w:fldCharType="separate"/>
      </w:r>
      <w:r w:rsidR="003C5E1E" w:rsidRPr="003C5E1E">
        <w:rPr>
          <w:noProof/>
        </w:rPr>
        <w:t>[18]</w:t>
      </w:r>
      <w:r>
        <w:fldChar w:fldCharType="end"/>
      </w:r>
      <w:r w:rsidRPr="001819C6">
        <w:t xml:space="preserve">. The knowledge gained from </w:t>
      </w:r>
      <w:r>
        <w:t xml:space="preserve">this comparison can then be </w:t>
      </w:r>
      <w:r w:rsidRPr="001819C6">
        <w:t xml:space="preserve">used to help students improve </w:t>
      </w:r>
      <w:r>
        <w:t xml:space="preserve">their </w:t>
      </w:r>
      <w:r w:rsidRPr="001819C6">
        <w:t xml:space="preserve">use of metacognition </w:t>
      </w:r>
      <w:r>
        <w:t>early in their college career</w:t>
      </w:r>
      <w:r w:rsidRPr="001819C6">
        <w:t xml:space="preserve">s. </w:t>
      </w:r>
      <w:r w:rsidRPr="00A31D9E">
        <w:t xml:space="preserve">Students demonstrate metacognitive knowledge when distinguishing between concepts they know and those they do not </w:t>
      </w:r>
      <w:r>
        <w:t xml:space="preserve">know </w:t>
      </w:r>
      <w:r>
        <w:fldChar w:fldCharType="begin" w:fldLock="1"/>
      </w:r>
      <w:r w:rsidR="003C5E1E">
        <w:instrText>ADDIN CSL_CITATION {"citationItems":[{"id":"ITEM-1","itemData":{"DOI":"10.1187/cbe.20-12-0289","ISSN":"19317913","PMID":"33797282","abstract":"Metacognition is awareness and control of thinking for learning. Strong metacognitive skills have the power to impact student learning and performance. While metacognition can develop over time with practice, many students struggle to meaningfully engage in metacognitive processes. In an evidence-based teaching guide associated with this paper (https://lse.ascb.org/evidence-based-teaching-guides/student-metacognition), we outline the reasons metacognition is critical for learning and summarize relevant research on this topic. We focus on three main areas in which faculty can foster students’ metacognition: supporting student learning strategies (i.e., study skills), encouraging monitoring and control of learning, and promoting social metacognition during group work. We distill insights from key papers into general recommendations for instruction, as well as a special list of four recommendations that instructors can implement in any course. We encourage both instructors and researchers to target metacognition to help students improve their learning and performance.","author":[{"dropping-particle":"","family":"Stanton","given":"Julie Dangremond","non-dropping-particle":"","parse-names":false,"suffix":""},{"dropping-particle":"","family":"Sebesta","given":"Amanda J.","non-dropping-particle":"","parse-names":false,"suffix":""},{"dropping-particle":"","family":"Dunlosky","given":"John","non-dropping-particle":"","parse-names":false,"suffix":""}],"container-title":"CBE Life Sciences Education","id":"ITEM-1","issue":"2","issued":{"date-parts":[["2021"]]},"page":"1-7","title":"Fostering metacognition to support student learning and performance","type":"article-journal","volume":"20"},"uris":["http://www.mendeley.com/documents/?uuid=cb493118-3b03-4030-945d-9f132a24a356"]}],"mendeley":{"formattedCitation":"[10]","plainTextFormattedCitation":"[10]","previouslyFormattedCitation":"[10]"},"properties":{"noteIndex":0},"schema":"https://github.com/citation-style-language/schema/raw/master/csl-citation.json"}</w:instrText>
      </w:r>
      <w:r>
        <w:fldChar w:fldCharType="separate"/>
      </w:r>
      <w:r w:rsidR="003C5E1E" w:rsidRPr="003C5E1E">
        <w:rPr>
          <w:noProof/>
        </w:rPr>
        <w:t>[10]</w:t>
      </w:r>
      <w:r>
        <w:fldChar w:fldCharType="end"/>
      </w:r>
      <w:r w:rsidRPr="00A31D9E">
        <w:t>.</w:t>
      </w:r>
    </w:p>
    <w:p w14:paraId="6B8E66B1" w14:textId="4E37AD48" w:rsidR="00110F7A" w:rsidRDefault="00110F7A" w:rsidP="00110F7A">
      <w:pPr>
        <w:ind w:firstLine="709"/>
        <w:jc w:val="both"/>
      </w:pPr>
      <w:r>
        <w:t xml:space="preserve">Prospective science teachers </w:t>
      </w:r>
      <w:r w:rsidRPr="00A31D9E">
        <w:t xml:space="preserve">need support to learn how to integrate </w:t>
      </w:r>
      <w:r>
        <w:t xml:space="preserve">individual </w:t>
      </w:r>
      <w:r w:rsidRPr="00A31D9E">
        <w:t xml:space="preserve">concepts and facts into a </w:t>
      </w:r>
      <w:r>
        <w:t xml:space="preserve">strong understanding of the process of science. </w:t>
      </w:r>
      <w:r>
        <w:fldChar w:fldCharType="begin" w:fldLock="1"/>
      </w:r>
      <w:r w:rsidR="003C5E1E">
        <w:instrText>ADDIN CSL_CITATION {"citationItems":[{"id":"ITEM-1","itemData":{"DOI":"10.1128/jmbe.v22i1.2409","ISSN":"1935-7877","PMID":"33884055","abstract":"Students and instructors have been faced with unexpected challenges that presented rapidly due to the COVID-19 pandemic. The pandemic forced students into an unfamiliar learning ecosystem to which they had to quickly adapt in order to continue to be successful in their courses.Students and instructors have been faced with unexpected challenges that presented rapidly due to the COVID-19 pandemic. The pandemic forced students into an unfamiliar learning ecosystem to which they had to quickly adapt in order to continue to be successful in their courses. Literature supports the importance of metacognition and self-regulated learning in the success of students in an online environment. More importantly, the concept of metacognitive regulation, which includes monitoring, planning, executing, and adapting learning strategies, is vital to student academic success. These strategies have been shown to close the opportunity gap observed specifically in persons excluded because of their ethnicity or race (PEERs) in STEM. Outlined here is the use of student-developed learning plans as a guided process to enhance students’ metacognitive regulation of their learning. These learning plans provide students a template to assist them in time management, practical study skills and planned study sessions, that are designed to increase their self-efficacy, motivation, and performance in online classes. Moreover, the iterative nature of the learning plan encourages students to continue to use and expand this plan in other academic courses.","author":[{"dropping-particle":"","family":"Roberts","given":"JoAnn S.","non-dropping-particle":"","parse-names":false,"suffix":""}],"container-title":"Journal of Microbiology &amp; Biology Education","id":"ITEM-1","issue":"1","issued":{"date-parts":[["2021"]]},"page":"1-5","title":"Integrating Metacognitive Regulation into the Online Classroom Using Student-Developed Learning Plans","type":"article-journal","volume":"22"},"uris":["http://www.mendeley.com/documents/?uuid=c8af9bcc-7126-488d-a9a4-7ae2db5343bd"]}],"mendeley":{"formattedCitation":"[19]","plainTextFormattedCitation":"[19]","previouslyFormattedCitation":"[19]"},"properties":{"noteIndex":0},"schema":"https://github.com/citation-style-language/schema/raw/master/csl-citation.json"}</w:instrText>
      </w:r>
      <w:r>
        <w:fldChar w:fldCharType="separate"/>
      </w:r>
      <w:r w:rsidR="003C5E1E" w:rsidRPr="003C5E1E">
        <w:rPr>
          <w:noProof/>
        </w:rPr>
        <w:t>[19]</w:t>
      </w:r>
      <w:r>
        <w:fldChar w:fldCharType="end"/>
      </w:r>
      <w:r w:rsidRPr="00A31D9E">
        <w:t xml:space="preserve">. Feedback is important in developing a </w:t>
      </w:r>
      <w:r>
        <w:t xml:space="preserve">scientifically accurate understanding of complex science </w:t>
      </w:r>
      <w:r w:rsidRPr="00A31D9E">
        <w:t>concepts</w:t>
      </w:r>
      <w:r>
        <w:t xml:space="preserve">, </w:t>
      </w:r>
      <w:r w:rsidRPr="00A31D9E">
        <w:t xml:space="preserve">leading </w:t>
      </w:r>
      <w:r>
        <w:t xml:space="preserve">to improved learning. It is because it </w:t>
      </w:r>
      <w:r w:rsidRPr="00A31D9E">
        <w:t xml:space="preserve">provides students with information about what they have done well </w:t>
      </w:r>
      <w:r>
        <w:t xml:space="preserve">and what still </w:t>
      </w:r>
      <w:r w:rsidRPr="00A31D9E">
        <w:t xml:space="preserve">needs </w:t>
      </w:r>
      <w:r>
        <w:t xml:space="preserve">improvement </w:t>
      </w:r>
      <w:r>
        <w:fldChar w:fldCharType="begin" w:fldLock="1"/>
      </w:r>
      <w:r w:rsidR="003C5E1E">
        <w:instrText>ADDIN CSL_CITATION {"citationItems":[{"id":"ITEM-1","itemData":{"DOI":"10.1128/jmbe.v15i1.629","ISSN":"1935-7877","abstract":"Current research supports the role of metacognitive strategies to enhance reading comprehension. This study measured the effectiveness of online versus face-to-face metacognitive and active reading skills lessons introduced by Biology faculty to college students in a nonmajors introductory biology course. These lessons were delivered in two lectures either online (Group 1: N = 154) or face to face (Group 2: N = 152). Previously validated pre- and post- surveys were used to collect and compare data by paired and independent t-test analysis (α = 0.05). Pre- and post- survey data showed a statistically significant improvement in both groups in metacognitive awareness (p = 0.001, p = 0.003, respectively) and reading comprehension (p &lt; 0.001 for both groups). When comparing the delivery mode of these lessons, no difference was detected between the online and face-to-face instruction for metacognitive awareness (pre- p = 0.619, post- p = 0.885). For reading comprehension, no difference in gains was demonstrated between online and face-to-face (p = 0.381); however, differences in pre- and post- test scores were measured (pre- p = 0.005, post- p = 0.038). This study suggests that biology instructors can easily introduce effective metacognitive awareness and active reading lessons into their course, either through online or face-to-face instruction.","author":[{"dropping-particle":"","family":"Hill","given":"Kendra M.","non-dropping-particle":"","parse-names":false,"suffix":""},{"dropping-particle":"","family":"Brözel","given":"Volker S.","non-dropping-particle":"","parse-names":false,"suffix":""},{"dropping-particle":"","family":"Heiberger","given":"Greg A.","non-dropping-particle":"","parse-names":false,"suffix":""}],"container-title":"Journal of Microbiology &amp; Biology Education","id":"ITEM-1","issue":"1","issued":{"date-parts":[["2014"]]},"page":"5-12","title":"Examining the Delivery Modes of Metacognitive Awareness and Active Reading Lessons in a College Nonmajors Introductory Biology Course","type":"article-journal","volume":"15"},"uris":["http://www.mendeley.com/documents/?uuid=b718bc43-6989-40fd-92f5-e6e5a66263ed"]}],"mendeley":{"formattedCitation":"[20]","plainTextFormattedCitation":"[20]","previouslyFormattedCitation":"[20]"},"properties":{"noteIndex":0},"schema":"https://github.com/citation-style-language/schema/raw/master/csl-citation.json"}</w:instrText>
      </w:r>
      <w:r>
        <w:fldChar w:fldCharType="separate"/>
      </w:r>
      <w:r w:rsidR="003C5E1E" w:rsidRPr="003C5E1E">
        <w:rPr>
          <w:noProof/>
        </w:rPr>
        <w:t>[20]</w:t>
      </w:r>
      <w:r>
        <w:fldChar w:fldCharType="end"/>
      </w:r>
      <w:r w:rsidRPr="00A31D9E">
        <w:t xml:space="preserve">. Unfortunately, it is difficult for </w:t>
      </w:r>
      <w:r>
        <w:t xml:space="preserve">lecturers in science classrooms to provide enough feedback and </w:t>
      </w:r>
      <w:r w:rsidRPr="00A31D9E">
        <w:t xml:space="preserve">direction </w:t>
      </w:r>
      <w:r>
        <w:t xml:space="preserve">to help students learn </w:t>
      </w:r>
      <w:r w:rsidR="00F240AE">
        <w:fldChar w:fldCharType="begin" w:fldLock="1"/>
      </w:r>
      <w:r w:rsidR="003C5E1E">
        <w:instrText>ADDIN CSL_CITATION {"citationItems":[{"id":"ITEM-1","itemData":{"DOI":"10.1128/jmbe.v21i1.2009","ISSN":"1935-7877","abstract":"The Advancing Metacognitive Prac- tices in Experimental Design (AMPED) exercises described in this article seek to address these concerns, offering a novel approach to engage students in metacognition within laboratory learning environments.","author":[{"dropping-particle":"","family":"McCabe","given":"Thomas M.","non-dropping-particle":"","parse-names":false,"suffix":""},{"dropping-particle":"","family":"Olimpo","given":"Jeffrey T.","non-dropping-particle":"","parse-names":false,"suffix":""}],"container-title":"Journal of Microbiology &amp; Biology Education","id":"ITEM-1","issue":"1","issued":{"date-parts":[["2020"]]},"page":"14-16","title":"Advancing Metacognitive Practices in Experimental Design: A Suite of Worksheet-Based Activities To Promote Reflection and Discourse in Laboratory Contexts","type":"article-journal","volume":"21"},"uris":["http://www.mendeley.com/documents/?uuid=a9e71e9f-1bc0-4805-854d-bd38bf85e2e4"]}],"mendeley":{"formattedCitation":"[21]","plainTextFormattedCitation":"[21]","previouslyFormattedCitation":"[21]"},"properties":{"noteIndex":0},"schema":"https://github.com/citation-style-language/schema/raw/master/csl-citation.json"}</w:instrText>
      </w:r>
      <w:r w:rsidR="00F240AE">
        <w:fldChar w:fldCharType="separate"/>
      </w:r>
      <w:r w:rsidR="003C5E1E" w:rsidRPr="003C5E1E">
        <w:rPr>
          <w:noProof/>
        </w:rPr>
        <w:t>[21]</w:t>
      </w:r>
      <w:r w:rsidR="00F240AE">
        <w:fldChar w:fldCharType="end"/>
      </w:r>
      <w:r w:rsidR="00F240AE">
        <w:t>.</w:t>
      </w:r>
      <w:r>
        <w:t xml:space="preserve"> To balance this factor</w:t>
      </w:r>
      <w:r w:rsidRPr="00A31D9E">
        <w:t xml:space="preserve">, innovative strategies must be implemented to provide </w:t>
      </w:r>
      <w:r>
        <w:t xml:space="preserve">feedback </w:t>
      </w:r>
      <w:r w:rsidRPr="00A31D9E">
        <w:t xml:space="preserve">on </w:t>
      </w:r>
      <w:r>
        <w:t xml:space="preserve">students' </w:t>
      </w:r>
      <w:r w:rsidRPr="00A31D9E">
        <w:t xml:space="preserve">learning needs. </w:t>
      </w:r>
      <w:r>
        <w:fldChar w:fldCharType="begin" w:fldLock="1"/>
      </w:r>
      <w:r w:rsidR="003C5E1E">
        <w:instrText>ADDIN CSL_CITATION {"citationItems":[{"id":"ITEM-1","itemData":{"DOI":"10.1187/cbe.16-10-0298","ISSN":"19317913","PMID":"28645893","abstract":"Providing feedback to students as they learn to integrate individual concepts into complex systems is an important way to help them to develop robust understanding, but it is challenging in large, undergraduate classes for instructors to provide feedback that is frequent and directed enough to help individual students. Various scaffolds can be used to help students engage in self-regulated learning and generate internal feedback to improve their learning. This study examined the use of enhanced answer keys with added reflection questions and instruction as scaffolds for engaging undergraduate students in self-regulated learning within an introductory biology course. Study findings show that both the enhanced answer keys and reflection questions helped students to engage in metacognition and develop greater understanding of biological concepts. Further, students who received additional instruction on the use of the scaffolds changed how they used them and, by the end of the semester, were using the scaffolds in significantly different ways and showed significantly higher learning gains than students who did not receive the instruction. These findings provide evidence for the benefit of designing scaffolds within biology courses that will support students in engaging in metacognition and enhancing their understanding of biological concepts.","author":[{"dropping-particle":"","family":"Sabel","given":"Jaime L.","non-dropping-particle":"","parse-names":false,"suffix":""},{"dropping-particle":"","family":"Dauer","given":"Joseph T.","non-dropping-particle":"","parse-names":false,"suffix":""},{"dropping-particle":"","family":"Forbes","given":"Cory T.","non-dropping-particle":"","parse-names":false,"suffix":""}],"container-title":"CBE Life Sciences Education","id":"ITEM-1","issue":"3","issued":{"date-parts":[["2017"]]},"page":"1-12","title":"Introductory biology students’ use of enhanced answer keys and reflection questions to engage in metacognition and enhance understanding","type":"article-journal","volume":"16"},"uris":["http://www.mendeley.com/documents/?uuid=b41312af-5ad7-42b0-ae80-0be8fb97bc5e"]}],"mendeley":{"formattedCitation":"[22]","plainTextFormattedCitation":"[22]","previouslyFormattedCitation":"[22]"},"properties":{"noteIndex":0},"schema":"https://github.com/citation-style-language/schema/raw/master/csl-citation.json"}</w:instrText>
      </w:r>
      <w:r>
        <w:fldChar w:fldCharType="separate"/>
      </w:r>
      <w:r w:rsidR="003C5E1E" w:rsidRPr="003C5E1E">
        <w:rPr>
          <w:noProof/>
        </w:rPr>
        <w:t>[22]</w:t>
      </w:r>
      <w:r>
        <w:fldChar w:fldCharType="end"/>
      </w:r>
      <w:r>
        <w:t>.</w:t>
      </w:r>
    </w:p>
    <w:p w14:paraId="51068A9D" w14:textId="605A6CCE" w:rsidR="00110F7A" w:rsidRDefault="00110F7A" w:rsidP="00110F7A">
      <w:pPr>
        <w:ind w:firstLine="709"/>
        <w:jc w:val="both"/>
      </w:pPr>
      <w:r>
        <w:t xml:space="preserve">Students </w:t>
      </w:r>
      <w:r w:rsidRPr="00DB5809">
        <w:t xml:space="preserve">with strong metacognitive skills can identify </w:t>
      </w:r>
      <w:r>
        <w:t xml:space="preserve">concepts they do not understand </w:t>
      </w:r>
      <w:r w:rsidRPr="00DB5809">
        <w:t xml:space="preserve">and choose the right approach to learning </w:t>
      </w:r>
      <w:r>
        <w:t>those</w:t>
      </w:r>
      <w:r w:rsidRPr="00DB5809">
        <w:t xml:space="preserve"> ideas. </w:t>
      </w:r>
      <w:r>
        <w:fldChar w:fldCharType="begin" w:fldLock="1"/>
      </w:r>
      <w:r w:rsidR="003C5E1E">
        <w:instrText>ADDIN CSL_CITATION {"citationItems":[{"id":"ITEM-1","itemData":{"DOI":"10.1007/s40299-021-00611-8","ISSN":"22437908","abstract":"Recent research has highlighted the value of incorporating metacognitive prompts into cooperative learning. This study explores effects of the presence or absence of metacognitive prompts in group or individual learning on metacognitive awareness and EFL writing outcomes. A total of 170 university students were assigned to one of four treatment conditions: collaborative learning with metacognitive prompts (COOP + META), collaborative learning without metacognitive prompts (COOP), individual learning with metacognitive prompts (INDI + META), and individual learning without metacognitive prompts (INDI). After treatment, learners exposed to metacognitive prompts in a cooperative learning setting outperformed the other groups in metacognitive awareness and EFL writing. Multiple regression analysis also showed that enhanced metacognitive awareness significantly predicted English writing outcomes. Results revealed metacognitive regulation was a more significant predictor of writing outcome. These findings highlight the importance of incorporating metacognitive prompts within collaborative writing settings.","author":[{"dropping-particle":"","family":"Teng","given":"Mark Feng","non-dropping-particle":"","parse-names":false,"suffix":""}],"container-title":"Asia-Pacific Education Researcher","id":"ITEM-1","issue":"5","issued":{"date-parts":[["2022"]]},"page":"601-612","publisher":"Springer Singapore","title":"Effects of Individual and Group Metacognitive Prompts on Tertiary-Level Students’ Metacognitive Awareness and Writing Outcomes","type":"article-journal","volume":"31"},"uris":["http://www.mendeley.com/documents/?uuid=8b907631-0e74-4411-8374-8ac4a0b8a304"]}],"mendeley":{"formattedCitation":"[23]","plainTextFormattedCitation":"[23]","previouslyFormattedCitation":"[23]"},"properties":{"noteIndex":0},"schema":"https://github.com/citation-style-language/schema/raw/master/csl-citation.json"}</w:instrText>
      </w:r>
      <w:r>
        <w:fldChar w:fldCharType="separate"/>
      </w:r>
      <w:r w:rsidR="003C5E1E" w:rsidRPr="003C5E1E">
        <w:rPr>
          <w:noProof/>
        </w:rPr>
        <w:t>[23]</w:t>
      </w:r>
      <w:r>
        <w:fldChar w:fldCharType="end"/>
      </w:r>
      <w:r>
        <w:t xml:space="preserve">. Metacognitive students know </w:t>
      </w:r>
      <w:r w:rsidRPr="00DB5809">
        <w:t xml:space="preserve">how to apply the chosen strategy, and they modify their approach based on </w:t>
      </w:r>
      <w:r>
        <w:t xml:space="preserve">experience </w:t>
      </w:r>
      <w:r w:rsidR="0027781E">
        <w:fldChar w:fldCharType="begin" w:fldLock="1"/>
      </w:r>
      <w:r w:rsidR="003C5E1E">
        <w:instrText>ADDIN CSL_CITATION {"citationItems":[{"id":"ITEM-1","itemData":{"DOI":"10.1187/cbe.14-09-0141","ISSN":"19317913","PMID":"26113628","abstract":"In flipped-class pedagogy, students prepare themselves at home before lectures, often by watching short video clips of the course contents. The aim of this study was to investigate the effects of flipped classes on motivation and learning strategies in higher education using a controlled, pre- and posttest approach. The same students were followed in a traditional course and in a course in which flipped classes were substituted for part of the traditional lectures. On the basis of the validated Motivated Strategies for Learning Questionnaire (MSLQ), we found that flipped-class pedagogy enhanced the MSLQ components critical thinking, task value, and peer learning. However, the effects of flipped classes were not long-lasting. We therefore propose repeated use of flipped classes in a curriculum to make effects on metacognition and collaborative-learning strategies sustainable.","author":[{"dropping-particle":"","family":"Vliet","given":"E. A.","non-dropping-particle":"Van","parse-names":false,"suffix":""},{"dropping-particle":"","family":"Winnips","given":"J. C.","non-dropping-particle":"","parse-names":false,"suffix":""},{"dropping-particle":"","family":"Brouwer","given":"N.","non-dropping-particle":"","parse-names":false,"suffix":""}],"container-title":"CBE Life Sciences Education","id":"ITEM-1","issue":"3","issued":{"date-parts":[["2015"]]},"page":"1-10","title":"Flipped-class pedagogy enhances student metacognition and collaborative-learning strategies in higher education but effect does not persist","type":"article-journal","volume":"14"},"uris":["http://www.mendeley.com/documents/?uuid=2f57e912-49f1-4b11-8b27-c8a949212291"]}],"mendeley":{"formattedCitation":"[24]","plainTextFormattedCitation":"[24]","previouslyFormattedCitation":"[24]"},"properties":{"noteIndex":0},"schema":"https://github.com/citation-style-language/schema/raw/master/csl-citation.json"}</w:instrText>
      </w:r>
      <w:r w:rsidR="0027781E">
        <w:fldChar w:fldCharType="separate"/>
      </w:r>
      <w:r w:rsidR="003C5E1E" w:rsidRPr="003C5E1E">
        <w:rPr>
          <w:noProof/>
        </w:rPr>
        <w:t>[24]</w:t>
      </w:r>
      <w:r w:rsidR="0027781E">
        <w:fldChar w:fldCharType="end"/>
      </w:r>
      <w:r w:rsidR="0027781E">
        <w:t>.</w:t>
      </w:r>
      <w:r w:rsidRPr="00DB5809">
        <w:t xml:space="preserve"> Metacognitive skills can </w:t>
      </w:r>
      <w:r>
        <w:t>profound</w:t>
      </w:r>
      <w:r w:rsidRPr="00DB5809">
        <w:t>ly affect</w:t>
      </w:r>
      <w:r>
        <w:t xml:space="preserve"> learning</w:t>
      </w:r>
      <w:r w:rsidRPr="00DB5809">
        <w:t xml:space="preserve">, but many scholars still need to develop </w:t>
      </w:r>
      <w:r>
        <w:t>these</w:t>
      </w:r>
      <w:r w:rsidRPr="00DB5809">
        <w:t xml:space="preserve"> abilities </w:t>
      </w:r>
      <w:r>
        <w:fldChar w:fldCharType="begin" w:fldLock="1"/>
      </w:r>
      <w:r w:rsidR="003C5E1E">
        <w:instrText>ADDIN CSL_CITATION {"citationItems":[{"id":"ITEM-1","itemData":{"DOI":"10.1187/cbe.16-03-0125","ISSN":"19317913","PMID":"27789532","abstract":"Educational videos have become an important part of higher education, providing an important content-delivery tool in many flipped, blended, and online classes. Effective use of video as an educational tool is enhanced when instructors consider three elements: how to manage cognitive load of the video; how to maximize student engagement with the video; and how to promote active learning from the video. This essay reviews literature relevant to each of these principles and suggests practical ways instructors can use these principles when using video as an educational tool.","author":[{"dropping-particle":"","family":"Brame","given":"Cynthia J.","non-dropping-particle":"","parse-names":false,"suffix":""}],"container-title":"CBE Life Sciences Education","id":"ITEM-1","issue":"4","issued":{"date-parts":[["2016"]]},"page":"1-6","title":"Effective educational videos: Principles and guidelines for maximizing student learning from video content","type":"article-journal","volume":"15"},"uris":["http://www.mendeley.com/documents/?uuid=8be846bb-fa42-4113-bb0f-4349b68305d5"]}],"mendeley":{"formattedCitation":"[25]","plainTextFormattedCitation":"[25]","previouslyFormattedCitation":"[25]"},"properties":{"noteIndex":0},"schema":"https://github.com/citation-style-language/schema/raw/master/csl-citation.json"}</w:instrText>
      </w:r>
      <w:r>
        <w:fldChar w:fldCharType="separate"/>
      </w:r>
      <w:r w:rsidR="003C5E1E" w:rsidRPr="003C5E1E">
        <w:rPr>
          <w:noProof/>
        </w:rPr>
        <w:t>[25]</w:t>
      </w:r>
      <w:r>
        <w:fldChar w:fldCharType="end"/>
      </w:r>
      <w:r w:rsidRPr="00DB5809">
        <w:t xml:space="preserve">. One way we can address </w:t>
      </w:r>
      <w:r>
        <w:t xml:space="preserve">this </w:t>
      </w:r>
      <w:r w:rsidRPr="00DB5809">
        <w:t xml:space="preserve">need is to examine students with </w:t>
      </w:r>
      <w:r>
        <w:t>well-developed</w:t>
      </w:r>
      <w:r w:rsidRPr="00DB5809">
        <w:t xml:space="preserve"> metacognition </w:t>
      </w:r>
      <w:r>
        <w:t xml:space="preserve">to learn when, why, </w:t>
      </w:r>
      <w:r w:rsidRPr="00DB5809">
        <w:t>and how they use these abilities. Then</w:t>
      </w:r>
      <w:r>
        <w:t>,</w:t>
      </w:r>
      <w:r w:rsidRPr="00DB5809">
        <w:t xml:space="preserve"> </w:t>
      </w:r>
      <w:r>
        <w:t xml:space="preserve">teachers </w:t>
      </w:r>
      <w:r w:rsidRPr="00DB5809">
        <w:t xml:space="preserve">can use the insights gained from highly metacognitive students to help other students improve their </w:t>
      </w:r>
      <w:r>
        <w:t xml:space="preserve">metacognition </w:t>
      </w:r>
      <w:r>
        <w:fldChar w:fldCharType="begin" w:fldLock="1"/>
      </w:r>
      <w:r w:rsidR="003C5E1E">
        <w:instrText>ADDIN CSL_CITATION {"citationItems":[{"id":"ITEM-1","itemData":{"DOI":"10.1187/cbe.16-09-0286","ISSN":"19317913","PMID":"28495935","abstract":"Students with awareness and control of their own thinking can learn more and perform better than students who are not metacognitive. Metacognitive regulation is how you control your thinking in order to learn. It includes the skill of evaluation, which is the ability to appraise your approaches to learning and then modify future plans based on those appraisals. We asked when, why, and how upper-division biology students evaluated their approaches to learning. We used self-evaluation assignments to identify students with potentially high metacognition and conducted semistructured interviews to collect rich qualitative data from them. Through content analysis, we found that students evaluated their approaches to learning when their courses presented novel challenges. Most students evaluated in response to an unsatisfactory grade. While evaluating study strategies, many students considered performance and learning simultaneously. We gained insights on the barriers students face when they try to change their approaches to learning based on their evaluations. A few students continued to use ineffective study strategies even though they were aware of the ineffectiveness of those strategies. A desire to avoid feeling uncomfortable was the primary reason they avoided strategies that they knew were more effective. We examined the behavioral change literature to help interpret these findings.","author":[{"dropping-particle":"","family":"Dye","given":"Kathryn Morris","non-dropping-particle":"","parse-names":false,"suffix":""},{"dropping-particle":"","family":"Stanton","given":"Julie Dangremond","non-dropping-particle":"","parse-names":false,"suffix":""}],"container-title":"CBE Life Sciences Education","id":"ITEM-1","issue":"2","issued":{"date-parts":[["2017"]]},"page":"1-14","title":"Metacognition in upper-division biology students: Awareness does not always lead to control","type":"article-journal","volume":"16"},"uris":["http://www.mendeley.com/documents/?uuid=aaf16e5e-dab9-4b79-9af3-52458f413570"]}],"mendeley":{"formattedCitation":"[26]","plainTextFormattedCitation":"[26]","previouslyFormattedCitation":"[26]"},"properties":{"noteIndex":0},"schema":"https://github.com/citation-style-language/schema/raw/master/csl-citation.json"}</w:instrText>
      </w:r>
      <w:r>
        <w:fldChar w:fldCharType="separate"/>
      </w:r>
      <w:r w:rsidR="003C5E1E" w:rsidRPr="003C5E1E">
        <w:rPr>
          <w:noProof/>
        </w:rPr>
        <w:t>[26]</w:t>
      </w:r>
      <w:r>
        <w:fldChar w:fldCharType="end"/>
      </w:r>
      <w:r w:rsidRPr="00DB5809">
        <w:t>.</w:t>
      </w:r>
    </w:p>
    <w:p w14:paraId="03007BAF" w14:textId="69D285AC" w:rsidR="00110F7A" w:rsidRDefault="00110F7A" w:rsidP="00110F7A">
      <w:pPr>
        <w:ind w:firstLine="709"/>
        <w:jc w:val="both"/>
      </w:pPr>
      <w:r>
        <w:t xml:space="preserve">The research shows that in science </w:t>
      </w:r>
      <w:r w:rsidRPr="00005EA5">
        <w:t xml:space="preserve">learning, 25% of teachers make </w:t>
      </w:r>
      <w:r>
        <w:t xml:space="preserve">less </w:t>
      </w:r>
      <w:r w:rsidRPr="00005EA5">
        <w:t xml:space="preserve">effort </w:t>
      </w:r>
      <w:r>
        <w:t xml:space="preserve">to </w:t>
      </w:r>
      <w:r w:rsidRPr="00005EA5">
        <w:t xml:space="preserve">empower </w:t>
      </w:r>
      <w:r>
        <w:t xml:space="preserve">students' </w:t>
      </w:r>
      <w:r w:rsidRPr="00005EA5">
        <w:t xml:space="preserve">metacognitive </w:t>
      </w:r>
      <w:r>
        <w:t xml:space="preserve">skills </w:t>
      </w:r>
      <w:r w:rsidRPr="00005EA5">
        <w:t xml:space="preserve">in providing learning through </w:t>
      </w:r>
      <w:r>
        <w:t>learning</w:t>
      </w:r>
      <w:r w:rsidRPr="00005EA5">
        <w:t xml:space="preserve"> strategies. </w:t>
      </w:r>
      <w:r>
        <w:fldChar w:fldCharType="begin" w:fldLock="1"/>
      </w:r>
      <w:r w:rsidR="003C5E1E">
        <w:instrText>ADDIN CSL_CITATION {"citationItems":[{"id":"ITEM-1","itemData":{"DOI":"10.21009/biosferjpb.v11n2.101-107","ISSN":"0853-2451","abstract":"Metacognitive skills are one of the skills needed in a 21st century lesson in science learning. Empowerment of thinking and metacognitive skills needs to be done so that learners become independent learners. Metacognitive skills are influenced by learning strategies. This PBL strategy in learning is expected to help students to improve students' metacognitive abilities in science learning.This study aims to determine the improvement of metacognitive skills of students who are taught with PBL strategies. The results showed that PBL strategies can improve students' metacognitive skills on different abilities. The students' metacognitive improvement on PBL strategy is 73.93% and conventional is 59.51%. PBL strategy can be used in science learning to improved metacognitive skill in Deli Serdang.","author":[{"dropping-particle":"","family":"Pratama","given":"Anggi Tyas","non-dropping-particle":"","parse-names":false,"suffix":""}],"container-title":"Biosfer: Jurnal Pendidikan Biologi","id":"ITEM-1","issue":"2","issued":{"date-parts":[["2018"]]},"page":"101-107","title":"Improving metacognitive skills using problem based learning (pbl) at natural science of primary school in deli serdang, indonesia","type":"article-journal","volume":"11"},"uris":["http://www.mendeley.com/documents/?uuid=6c543c67-bfad-4154-8482-f3ac9db3b131"]}],"mendeley":{"formattedCitation":"[27]","plainTextFormattedCitation":"[27]","previouslyFormattedCitation":"[27]"},"properties":{"noteIndex":0},"schema":"https://github.com/citation-style-language/schema/raw/master/csl-citation.json"}</w:instrText>
      </w:r>
      <w:r>
        <w:fldChar w:fldCharType="separate"/>
      </w:r>
      <w:r w:rsidR="003C5E1E" w:rsidRPr="003C5E1E">
        <w:rPr>
          <w:noProof/>
        </w:rPr>
        <w:t>[27]</w:t>
      </w:r>
      <w:r>
        <w:fldChar w:fldCharType="end"/>
      </w:r>
      <w:r w:rsidRPr="00005EA5">
        <w:t xml:space="preserve">. </w:t>
      </w:r>
      <w:r w:rsidRPr="007155EA">
        <w:t xml:space="preserve">One way to </w:t>
      </w:r>
      <w:r>
        <w:t xml:space="preserve">improve students' metacognition is </w:t>
      </w:r>
      <w:r w:rsidRPr="007155EA">
        <w:t xml:space="preserve">through student-centered learning activities like problem-based learning. </w:t>
      </w:r>
      <w:r w:rsidRPr="00ED3039">
        <w:t>Problem-Based Learning (</w:t>
      </w:r>
      <w:r>
        <w:t xml:space="preserve">PBL) improves students' metacognitive skills by 24%. So far, the lack of students' metacognitive awareness is due to the </w:t>
      </w:r>
      <w:r w:rsidRPr="00454257">
        <w:t xml:space="preserve">need for students' attention </w:t>
      </w:r>
      <w:r>
        <w:t xml:space="preserve">in </w:t>
      </w:r>
      <w:r w:rsidRPr="00454257">
        <w:t>problem-solving</w:t>
      </w:r>
      <w:r>
        <w:t xml:space="preserve">. It is because one of the important aspects of the </w:t>
      </w:r>
      <w:r w:rsidRPr="00454257">
        <w:t xml:space="preserve">problem-solving process is </w:t>
      </w:r>
      <w:r>
        <w:t>metacognitive</w:t>
      </w:r>
      <w:r w:rsidRPr="00454257">
        <w:t xml:space="preserve"> awareness</w:t>
      </w:r>
      <w:r>
        <w:t xml:space="preserve"> </w:t>
      </w:r>
      <w:r>
        <w:fldChar w:fldCharType="begin" w:fldLock="1"/>
      </w:r>
      <w:r w:rsidR="003C5E1E">
        <w:instrText>ADDIN CSL_CITATION {"citationItems":[{"id":"ITEM-1","itemData":{"DOI":"10.14738/abr.51.2565","author":[{"dropping-particle":"Al","family":"Awdah","given":"Doha","non-dropping-particle":"","parse-names":false,"suffix":""},{"dropping-particle":"","family":"Jasmeen","given":"Sofia","non-dropping-particle":"","parse-names":false,"suffix":""},{"dropping-particle":"","family":"Alexander","given":"Asha","non-dropping-particle":"","parse-names":false,"suffix":""}],"container-title":"Archives of Business Research","id":"ITEM-1","issue":"1","issued":{"date-parts":[["2017"]]},"page":"16-25","title":"A Quantitative Evaluation of Metacognitive Awareness among Business Administration Students","type":"article-journal","volume":"5"},"uris":["http://www.mendeley.com/documents/?uuid=a86fcf1e-a1b3-4e17-b621-a95f270c7509"]}],"mendeley":{"formattedCitation":"[28]","plainTextFormattedCitation":"[28]","previouslyFormattedCitation":"[28]"},"properties":{"noteIndex":0},"schema":"https://github.com/citation-style-language/schema/raw/master/csl-citation.json"}</w:instrText>
      </w:r>
      <w:r>
        <w:fldChar w:fldCharType="separate"/>
      </w:r>
      <w:r w:rsidR="003C5E1E" w:rsidRPr="003C5E1E">
        <w:rPr>
          <w:noProof/>
        </w:rPr>
        <w:t>[28]</w:t>
      </w:r>
      <w:r>
        <w:fldChar w:fldCharType="end"/>
      </w:r>
      <w:r>
        <w:t xml:space="preserve">, where </w:t>
      </w:r>
      <w:r w:rsidRPr="00D02F92">
        <w:t xml:space="preserve">students with </w:t>
      </w:r>
      <w:r>
        <w:t xml:space="preserve">higher metacognitive </w:t>
      </w:r>
      <w:r w:rsidRPr="00D02F92">
        <w:t xml:space="preserve">skills have </w:t>
      </w:r>
      <w:r>
        <w:t xml:space="preserve">higher problem-solving </w:t>
      </w:r>
      <w:r w:rsidRPr="00D02F92">
        <w:t>skills</w:t>
      </w:r>
      <w:r>
        <w:t xml:space="preserve"> </w:t>
      </w:r>
      <w:r>
        <w:fldChar w:fldCharType="begin" w:fldLock="1"/>
      </w:r>
      <w:r w:rsidR="003C5E1E">
        <w:instrText>ADDIN CSL_CITATION {"citationItems":[{"id":"ITEM-1","itemData":{"DOI":"10.1080/0020739X.2015.1080313","ISSN":"14645211","abstract":"Studies highlight that using appropriate strategies during problem solving is important to improve problem-solving skills and draw attention to the fact that using these skills is an important part of students’ self-regulated learning ability. Studies on this matter view the self-regulated learning ability as key to improving problem-solving skills. The aim of this study is to investigate the relationship between mathematical problem-solving skills and the three dimensions of self-regulated learning (motivation, metacognition, and behaviour), and whether this relationship is of a predictive nature. The sample of this study consists of 323 students from two public secondary schools in Istanbul. In this study, the mathematics homework behaviour scale was administered to measure students’ homework behaviours. For metacognition measurements, the mathematics metacognition skills test for students was administered to measure offline mathematical metacognitive skills, and the metacognitive experience scale was used to measure the online mathematical metacognitive experience. The internal and external motivational scales used in the Programme for International Student Assessment (PISA) test were administered to measure motivation. A hierarchic regression analysis was conducted to determine the relationship between the dependent and independent variables in the study. Based on the findings, a model was formed in which 24% of the total variance in students’ mathematical problem-solving skills is explained by the three sub-dimensions of the self-regulated learning model: internal motivation (13%), willingness to do homework (7%), and post-problem retrospective metacognitive experience (4%).","author":[{"dropping-particle":"","family":"Özcan","given":"Zeynep Çiğdem","non-dropping-particle":"","parse-names":false,"suffix":""}],"container-title":"International Journal of Mathematical Education in Science and Technology","id":"ITEM-1","issue":"3","issued":{"date-parts":[["2016"]]},"page":"408-420","title":"The relationship between mathematical problem-solving skills and self-regulated learning through homework behaviours, motivation, and metacognition","type":"article-journal","volume":"47"},"uris":["http://www.mendeley.com/documents/?uuid=955fd6fe-7fbe-440a-b5d1-a6e880bcf951"]}],"mendeley":{"formattedCitation":"[29]","plainTextFormattedCitation":"[29]","previouslyFormattedCitation":"[29]"},"properties":{"noteIndex":0},"schema":"https://github.com/citation-style-language/schema/raw/master/csl-citation.json"}</w:instrText>
      </w:r>
      <w:r>
        <w:fldChar w:fldCharType="separate"/>
      </w:r>
      <w:r w:rsidR="003C5E1E" w:rsidRPr="003C5E1E">
        <w:rPr>
          <w:noProof/>
        </w:rPr>
        <w:t>[29]</w:t>
      </w:r>
      <w:r>
        <w:fldChar w:fldCharType="end"/>
      </w:r>
      <w:r>
        <w:t>. In addition, PBL has been shown to improve creative thinking and critical</w:t>
      </w:r>
      <w:r w:rsidRPr="00ED2A9B">
        <w:t xml:space="preserve"> thinking skills</w:t>
      </w:r>
      <w:r>
        <w:t xml:space="preserve"> </w:t>
      </w:r>
      <w:r>
        <w:fldChar w:fldCharType="begin" w:fldLock="1"/>
      </w:r>
      <w:r w:rsidR="003C5E1E">
        <w:instrText>ADDIN CSL_CITATION {"citationItems":[{"id":"ITEM-1","itemData":{"DOI":"10.18200/jgedc.2015214253","ISSN":"2149-1410","abstract":"Creative and critical thinking skills are the abilities, which can sometimes be used interchangeably in definition. In fact, they have different constructs because they differentiate in outcome of human behaviours. Also one of today's requirements is that individuals should approach everyday problems by using both competences. So, one of the helpful tool for development of creativity and critical thinking skills proposed is problem-based learning environments in classrooms. In this study, problem based approach including philosophy; general characteristics of it, role of teachers and students in problem-based learning environment, and its uniqueness over other learning approaches is explained by considering advantages and limitations. Then, problem-based learning is discussed with regard to instructional design perspective in a scientific manner. Finally, the study is aimed to explain when PBL grounded in development of instructional strategy as a fruitful approach; instructional strategies, methods and techniques are differentiated in creativity and critical thinking skills.","author":[{"dropping-particle":"","family":"Birgili","given":"Bengi","non-dropping-particle":"","parse-names":false,"suffix":""}],"container-title":"Journal of Gifted Education and Creativity","id":"ITEM-1","issue":"2","issued":{"date-parts":[["2015"]]},"page":"71-71","title":"Creative and Critical Thinking Skills in Problem-based Learning Environments","type":"article-journal","volume":"2"},"uris":["http://www.mendeley.com/documents/?uuid=73dea686-7d6e-43ed-902f-dcb24d1a8875"]}],"mendeley":{"formattedCitation":"[30]","plainTextFormattedCitation":"[30]","previouslyFormattedCitation":"[30]"},"properties":{"noteIndex":0},"schema":"https://github.com/citation-style-language/schema/raw/master/csl-citation.json"}</w:instrText>
      </w:r>
      <w:r>
        <w:fldChar w:fldCharType="separate"/>
      </w:r>
      <w:r w:rsidR="003C5E1E" w:rsidRPr="003C5E1E">
        <w:rPr>
          <w:noProof/>
        </w:rPr>
        <w:t>[30]</w:t>
      </w:r>
      <w:r>
        <w:fldChar w:fldCharType="end"/>
      </w:r>
      <w:r w:rsidRPr="00ED2A9B">
        <w:t xml:space="preserve">, </w:t>
      </w:r>
      <w:r>
        <w:t>problem</w:t>
      </w:r>
      <w:r w:rsidRPr="00ED2A9B">
        <w:t xml:space="preserve">-solving </w:t>
      </w:r>
      <w:r>
        <w:fldChar w:fldCharType="begin" w:fldLock="1"/>
      </w:r>
      <w:r w:rsidR="003C5E1E">
        <w:instrText>ADDIN CSL_CITATION {"citationItems":[{"id":"ITEM-1","itemData":{"DOI":"10.12973/eurasia.2017.00647a","ISSN":"13058223","abstract":"Through the learning of physics, students will acquire problem solving skills which are relevant to their daily life. Determining the best way in which students learn physics takes a priority in physics education. The goal of the present study was to determine the effect of problem based learning strategy on students' problem solving skills and its role in building their motivation. A quasi-experimental research method was adapted. Problem solving inventory test and motivation scale were used to collect data. Subjects included were 81 grade 12 students taken from Wachemo Preparatory school. There was a mean difference between comparison and experimental groups. The covariate analysis shows that the difference was statistically significant with effect size above average. However, there was insignificant difference in motivation to learn physics. The study suggested that to improve students' achievement, schools must adapt the PBL method carefully. However, students' motivation to learn physics remains vague.","author":[{"dropping-particle":"","family":"Argaw","given":"Aweke Shishigu","non-dropping-particle":"","parse-names":false,"suffix":""},{"dropping-particle":"","family":"Haile","given":"Beyene Bashu","non-dropping-particle":"","parse-names":false,"suffix":""},{"dropping-particle":"","family":"Ayalew","given":"Beyene Tesfaw","non-dropping-particle":"","parse-names":false,"suffix":""},{"dropping-particle":"","family":"Kuma","given":"Shiferaw Gadisa","non-dropping-particle":"","parse-names":false,"suffix":""}],"container-title":"Eurasia Journal of Mathematics, Science and Technology Education","id":"ITEM-1","issue":"3","issued":{"date-parts":[["2017"]]},"page":"857-871","title":"The effect of problem based learning (PBL) instruction on students' motivation and problem solving skills of physics","type":"article-journal","volume":"13"},"uris":["http://www.mendeley.com/documents/?uuid=cc64e466-97da-4a7d-8201-47847e4379ae"]}],"mendeley":{"formattedCitation":"[31]","plainTextFormattedCitation":"[31]","previouslyFormattedCitation":"[31]"},"properties":{"noteIndex":0},"schema":"https://github.com/citation-style-language/schema/raw/master/csl-citation.json"}</w:instrText>
      </w:r>
      <w:r>
        <w:fldChar w:fldCharType="separate"/>
      </w:r>
      <w:r w:rsidR="003C5E1E" w:rsidRPr="003C5E1E">
        <w:rPr>
          <w:noProof/>
        </w:rPr>
        <w:t>[31]</w:t>
      </w:r>
      <w:r>
        <w:fldChar w:fldCharType="end"/>
      </w:r>
      <w:r w:rsidRPr="00ED2A9B">
        <w:t xml:space="preserve">, and </w:t>
      </w:r>
      <w:r>
        <w:t xml:space="preserve">writing skills </w:t>
      </w:r>
      <w:r>
        <w:fldChar w:fldCharType="begin" w:fldLock="1"/>
      </w:r>
      <w:r w:rsidR="003C5E1E">
        <w:instrText>ADDIN CSL_CITATION {"citationItems":[{"id":"ITEM-1","itemData":{"DOI":"10.29333/iji.2021.1422a","ISBN":"2020022116020","ISSN":"13081470","abstract":"Scientific writing is essential for students to express their idea and to report their research. Problem-based learning model directs students to solve problems and report them in the form of scientific articles. The report is written logically and systematically. The research used a quasi-experiment method with 62 students as participants. The research was conducted in the Geography Education Program of Kanjuruhan University of Malang, Indonesia, academic year 2017/2018 on the course of Geography Natural Resource. The instruments used were essay tests and assessment rubrics for scientific writing. Data from problem-solving and scientific writing assessments were analysed with the Mann-Whitney test with a significance level of 5% after a prerequisite test. The results of the study showed that: problem-based learning model has a significant effect on students’ problem-solving skills, scientific writing skill, and together problem-based learning and problem-solving skills had significant effect scientific writing skill.","author":[{"dropping-particle":"","family":"Sari","given":"Yuli Ifana","non-dropping-particle":"","parse-names":false,"suffix":""},{"dropping-particle":"","family":"Sumarmi","given":"","non-dropping-particle":"","parse-names":false,"suffix":""},{"dropping-particle":"","family":"Utomo","given":"Dwiyono Hari","non-dropping-particle":"","parse-names":false,"suffix":""},{"dropping-particle":"","family":"Astina","given":"I. Komang","non-dropping-particle":"","parse-names":false,"suffix":""}],"container-title":"International Journal of Instruction","id":"ITEM-1","issue":"2","issued":{"date-parts":[["2021"]]},"page":"11-26","title":"The Effect of Problem Based Learning on Problem Solving and Scientific Writing Skills","type":"article-journal","volume":"14"},"uris":["http://www.mendeley.com/documents/?uuid=bc0e90e0-9917-4196-bb10-a3c13c980ae4"]}],"mendeley":{"formattedCitation":"[32]","plainTextFormattedCitation":"[32]","previouslyFormattedCitation":"[32]"},"properties":{"noteIndex":0},"schema":"https://github.com/citation-style-language/schema/raw/master/csl-citation.json"}</w:instrText>
      </w:r>
      <w:r>
        <w:fldChar w:fldCharType="separate"/>
      </w:r>
      <w:r w:rsidR="003C5E1E" w:rsidRPr="003C5E1E">
        <w:rPr>
          <w:noProof/>
        </w:rPr>
        <w:t>[32]</w:t>
      </w:r>
      <w:r>
        <w:fldChar w:fldCharType="end"/>
      </w:r>
      <w:r>
        <w:t xml:space="preserve">. </w:t>
      </w:r>
      <w:r w:rsidRPr="005E5DC7">
        <w:t xml:space="preserve">PBL </w:t>
      </w:r>
      <w:r>
        <w:t xml:space="preserve">can also </w:t>
      </w:r>
      <w:r w:rsidRPr="005E5DC7">
        <w:t xml:space="preserve">increase students' self-confidence, create a supportive environment for group work, improve interpersonal communication and </w:t>
      </w:r>
      <w:r>
        <w:t xml:space="preserve">build self-awareness </w:t>
      </w:r>
      <w:r w:rsidR="00920B3F">
        <w:fldChar w:fldCharType="begin" w:fldLock="1"/>
      </w:r>
      <w:r w:rsidR="003C5E1E">
        <w:instrText>ADDIN CSL_CITATION {"citationItems":[{"id":"ITEM-1","itemData":{"DOI":"10.5959/eimj.v8i3.430","abstract":"Introduction: Problem based learning (PBL) since its first implementation is continuous to be one of the method's strongholds worldwide in medical education and also gaining ground in higher education. This curricular and structural innovation in medical education has certain advantages over the conventional lecture-based education in terms of student achievements, their abilities to learn problem solving skills and acquire knowledge about the basic and clinical sciences. Method: The literature research was conducted by using several keywords including: \" PBL, education, medical, reasoning, teaching, undergraduate \" (MeSH – Medical Subject Headings). PubMed and ERIC (Education Resources Information Center) were the database using for literature review. Result: The traditional teaching methods in medical and higher education show somehow a lack of keeping the traditional knowledge for long-lasting period and just memorisation of the necessary information. The problem based learning by using different format wisely has shifted this knowledge paradigm from teacher-centred to be a student-centred approach. Although, the pros and cons of problem based learning are still indistinct and varies, it's still more beneficial to the students for structuring their knowledge in clinical contexts, developing clinical reasoning processes, mounting self-directed learning skills and enhancing their intrinsic motivation for learning. Conclusion: The differences between the conventional methods and problem-based learning were covered briefly. After that, the approaches of how the medical students with PBL system, specifically improved their clinical reasoning and problem-solving skills were also demonstrated in details by over viewing some published studies in this prospectus.","author":[{"dropping-particle":"","family":"Aldarmahi","given":"Ahmed A","non-dropping-particle":"","parse-names":false,"suffix":""}],"container-title":"Education in Medicine Journal","id":"ITEM-1","issue":"3","issued":{"date-parts":[["2016"]]},"page":"1-10","title":"The Impact of Problem Based Learning versus Conventional Education on Students in the Aspect of Clinical Reasoning and Problem Solving","type":"article-journal","volume":"8"},"uris":["http://www.mendeley.com/documents/?uuid=ca2f144f-43cd-454f-b570-fe73dd188597"]}],"mendeley":{"formattedCitation":"[33]","plainTextFormattedCitation":"[33]","previouslyFormattedCitation":"[33]"},"properties":{"noteIndex":0},"schema":"https://github.com/citation-style-language/schema/raw/master/csl-citation.json"}</w:instrText>
      </w:r>
      <w:r w:rsidR="00920B3F">
        <w:fldChar w:fldCharType="separate"/>
      </w:r>
      <w:r w:rsidR="003C5E1E" w:rsidRPr="003C5E1E">
        <w:rPr>
          <w:noProof/>
        </w:rPr>
        <w:t>[33]</w:t>
      </w:r>
      <w:r w:rsidR="00920B3F">
        <w:fldChar w:fldCharType="end"/>
      </w:r>
      <w:r w:rsidR="00920B3F">
        <w:t xml:space="preserve">, </w:t>
      </w:r>
      <w:r w:rsidR="00920B3F">
        <w:fldChar w:fldCharType="begin" w:fldLock="1"/>
      </w:r>
      <w:r w:rsidR="003C5E1E">
        <w:instrText>ADDIN CSL_CITATION {"citationItems":[{"id":"ITEM-1","itemData":{"DOI":"10.3390/educsci8040180","ISSN":"22277102","abstract":"Much is known about the impact of vocabulary instruction on reading skills, word knowledge, and reading comprehension. However, knowledge of the underlying theories that guide vocabulary instruction and their potential impact on teachers’ performance and/or students’ achievement has not been investigated. In this content analysis, articles published in The Reading Teacher and Journal of Adolescent and Adult Literacy between 2007 and 2017 were dissected to identify and code embedded word-learning strategies, grade levels addressed, target student populations, and desired outcomes (receptive or productive vocabulary). Our primary goal was to examine the embedded word-learning strategies within the articles, and to identify the theories on which they were built. Findings showed that a combination of theories guided most strategy recommendations: Social constructivism and sociocultural theories, schema and psycholinguistic theories, motivation theory, and dual coding theory. We also parallel-coded our findings with a recent review of literature on vocabulary instruction by Wright and Cervetti (2017), and found that they corresponded with the original coding. Follow-up quantitative studies can use the salient theories detected in this content analysis to investigate whether knowledge of underlying theories has an impact on teachers’ performance and student vocabulary and reading comprehension achievement.","author":[{"dropping-particle":"","family":"Moody","given":"Stephanie","non-dropping-particle":"","parse-names":false,"suffix":""},{"dropping-particle":"","family":"Hu","given":"Xueyan","non-dropping-particle":"","parse-names":false,"suffix":""},{"dropping-particle":"","family":"Kuo","given":"Li Jen","non-dropping-particle":"","parse-names":false,"suffix":""},{"dropping-particle":"","family":"Jouhar","given":"Mohammed","non-dropping-particle":"","parse-names":false,"suffix":""},{"dropping-particle":"","family":"Xu","given":"Zhihong","non-dropping-particle":"","parse-names":false,"suffix":""},{"dropping-particle":"","family":"Lee","given":"Sungyoon","non-dropping-particle":"","parse-names":false,"suffix":""}],"container-title":"Education Sciences","id":"ITEM-1","issue":"4","issued":{"date-parts":[["2018"]]},"page":"1-22","title":"Vocabulary instruction: A critical analysis of theories, research, and practice","type":"article-journal","volume":"8"},"uris":["http://www.mendeley.com/documents/?uuid=ffbbec45-ae17-4dfb-97d4-c77e329324d1"]}],"mendeley":{"formattedCitation":"[34]","plainTextFormattedCitation":"[34]","previouslyFormattedCitation":"[34]"},"properties":{"noteIndex":0},"schema":"https://github.com/citation-style-language/schema/raw/master/csl-citation.json"}</w:instrText>
      </w:r>
      <w:r w:rsidR="00920B3F">
        <w:fldChar w:fldCharType="separate"/>
      </w:r>
      <w:r w:rsidR="003C5E1E" w:rsidRPr="003C5E1E">
        <w:rPr>
          <w:noProof/>
        </w:rPr>
        <w:t>[34]</w:t>
      </w:r>
      <w:r w:rsidR="00920B3F">
        <w:fldChar w:fldCharType="end"/>
      </w:r>
      <w:r w:rsidR="00920B3F">
        <w:t xml:space="preserve">. </w:t>
      </w:r>
      <w:r>
        <w:t xml:space="preserve">PBL is </w:t>
      </w:r>
      <w:r w:rsidRPr="00FF31BA">
        <w:t xml:space="preserve">beneficial for students in constructing knowledge, developing the reasoning process, improving independent learning skills and </w:t>
      </w:r>
      <w:r>
        <w:t xml:space="preserve">motivation, </w:t>
      </w:r>
      <w:r w:rsidRPr="00FF31BA">
        <w:t xml:space="preserve">and increasing </w:t>
      </w:r>
      <w:r>
        <w:t xml:space="preserve">intrinsic </w:t>
      </w:r>
      <w:r w:rsidRPr="00FF31BA">
        <w:t>learning</w:t>
      </w:r>
      <w:r>
        <w:t xml:space="preserve"> </w:t>
      </w:r>
      <w:r>
        <w:fldChar w:fldCharType="begin" w:fldLock="1"/>
      </w:r>
      <w:r w:rsidR="003C5E1E">
        <w:instrText>ADDIN CSL_CITATION {"citationItems":[{"id":"ITEM-1","itemData":{"DOI":"10.29333/iji.2019.1248a","ISSN":"13081470","abstract":"This research aims at investigating the readiness level of pre-service biology teacher to follow Blended Collaborative Problem Based Learning (BCPBL) model class. This research also aims at investigating the differences in the readiness level of pre-service biology teachers in the BCPBL class due to the semesters differences. The participants were randomly selected from the students in semester 2, 4, 6, and 8 of Biology Education Study Program in Indonesia. From the total population of 750 students, 27 students, 24 students, 29 students, and 21 students were selected from the 2nd, 4th, 6th, and 8th semester students respectively. The instrument used in this research was the questionnaire modified from the one developed by Xiong et al. (2015). The reliability of the questionnaire had been tested and obtained a reliability index of 0.893. The data obtained were analyzed descriptively and followed by using one-way analysis of variance (ANOVA). Based on the results of this research it is concluded that in general pre-service biology teacher have a high level of readiness to follow the BCPBL class. Semester differences do not cause significant differences in the level of students' readiness to follow BCPBL model.","author":[{"dropping-particle":"","family":"Sugiharto","given":"Bowo","non-dropping-particle":"","parse-names":false,"suffix":""},{"dropping-particle":"","family":"Corebima","given":"Aloysius Duran","non-dropping-particle":"","parse-names":false,"suffix":""},{"dropping-particle":"","family":"Susilo","given":"Herawati","non-dropping-particle":"","parse-names":false,"suffix":""},{"dropping-particle":"","family":"Ibrohim","given":"","non-dropping-particle":"","parse-names":false,"suffix":""}],"container-title":"International Journal of Instruction","id":"ITEM-1","issue":"4","issued":{"date-parts":[["2019"]]},"page":"113-130","title":"The pre-service biology teacher readiness in Blended Collaborative Problem Based Learning (BCPBL)","type":"article-journal","volume":"12"},"uris":["http://www.mendeley.com/documents/?uuid=8dffb77c-9a55-4712-adcf-96181cdfdc21"]}],"mendeley":{"formattedCitation":"[35]","plainTextFormattedCitation":"[35]","previouslyFormattedCitation":"[35]"},"properties":{"noteIndex":0},"schema":"https://github.com/citation-style-language/schema/raw/master/csl-citation.json"}</w:instrText>
      </w:r>
      <w:r>
        <w:fldChar w:fldCharType="separate"/>
      </w:r>
      <w:r w:rsidR="003C5E1E" w:rsidRPr="003C5E1E">
        <w:rPr>
          <w:noProof/>
        </w:rPr>
        <w:t>[35]</w:t>
      </w:r>
      <w:r>
        <w:fldChar w:fldCharType="end"/>
      </w:r>
      <w:r>
        <w:t>.</w:t>
      </w:r>
    </w:p>
    <w:p w14:paraId="4495A976" w14:textId="24C07D17" w:rsidR="00110F7A" w:rsidRDefault="00110F7A" w:rsidP="00110F7A">
      <w:pPr>
        <w:ind w:firstLine="709"/>
        <w:jc w:val="both"/>
      </w:pPr>
      <w:r>
        <w:t xml:space="preserve">In addition, RQA (Reading, Questioning, and Answering) is proven from the three models used in learning to have the strongest influence on improving students' metacognition. </w:t>
      </w:r>
      <w:r>
        <w:fldChar w:fldCharType="begin" w:fldLock="1"/>
      </w:r>
      <w:r w:rsidR="003C5E1E">
        <w:instrText>ADDIN CSL_CITATION {"citationItems":[{"id":"ITEM-1","itemData":{"DOI":"10.36681/tused.2020.40","ISSN":"13046020","abstract":"Several previous researches reported that there was a positive correlation between metacognitive skills and cognitive learning results. However, some others reported otherwise. This is believed to be related to the learning model used. This research aimed at revealing the correlation between metacognitive skills and cognitive learning results of pre-service teachers taught by using QASEE and RQA learning models, as well as by using conventional learning, and comparing the regression equations of the three learnings. 107 biology pre-service teachers at Universitas Islam Negeri Raden Fatah Palembang, Indonesia, were involved in this correlational study. Data were obtained by the essay test and were analyzed by simple linear regression analysis. The research result indicates that there is a significant correlation between metacognitive skills and cognitive learning results of the pre-service teachers taught by using the three learnings. It was also found that the regression equations uncovered at the three learnings was parallel and coincide. The contribution of metacognitive skills toward cognitive learning results uncovered in RQA learning model is the highest one among the three learnings preceded by that uncovered in QASEE learning model. This information is beneficial for lecturers in order to use the right learning model to empower pre-service teachers’ metacognitive skills and cognitive learning results.","author":[{"dropping-particle":"","family":"Saputri","given":"Wulandari","non-dropping-particle":"","parse-names":false,"suffix":""},{"dropping-particle":"","family":"Corebima","given":"Aloysius Duran","non-dropping-particle":"","parse-names":false,"suffix":""}],"container-title":"Journal of Turkish Science Education","id":"ITEM-1","issue":"4","issued":{"date-parts":[["2020"]]},"page":"487-503","title":"The Correlation between Metacognitive Skills and Cognitive Learning Results of Biology Pre-service Teachers on Different Learnings","type":"article-journal","volume":"17"},"uris":["http://www.mendeley.com/documents/?uuid=c53732dc-1cc8-409d-b7f9-0ab2a8a641bf"]}],"mendeley":{"formattedCitation":"[36]","plainTextFormattedCitation":"[36]","previouslyFormattedCitation":"[36]"},"properties":{"noteIndex":0},"schema":"https://github.com/citation-style-language/schema/raw/master/csl-citation.json"}</w:instrText>
      </w:r>
      <w:r>
        <w:fldChar w:fldCharType="separate"/>
      </w:r>
      <w:r w:rsidR="003C5E1E" w:rsidRPr="003C5E1E">
        <w:rPr>
          <w:noProof/>
        </w:rPr>
        <w:t>[36]</w:t>
      </w:r>
      <w:r>
        <w:fldChar w:fldCharType="end"/>
      </w:r>
      <w:r>
        <w:t xml:space="preserve">. In addition, </w:t>
      </w:r>
      <w:r>
        <w:fldChar w:fldCharType="begin" w:fldLock="1"/>
      </w:r>
      <w:r w:rsidR="003C5E1E">
        <w:instrText>ADDIN CSL_CITATION {"citationItems":[{"id":"ITEM-1","itemData":{"abstract":"… of learning. Behavior plan consists of a set of learning objectives, sequence learning, learning strategies … Second, monitoring refers to moderate activity on learning progress. Monitoring …","author":[{"dropping-particle":"","family":"Bahri","given":"Arsad","non-dropping-particle":"","parse-names":false,"suffix":""}],"container-title":"Proceeding of ICMSTEA: International Conference on Mathematic, Science, Technology, Education and their Applications","id":"ITEM-1","issue":"October","issued":{"date-parts":[["2016"]]},"page":"156-162","title":"Exploring The Correlation Between Metacognitive Skills and Retention of Students in Different Learning Strategies in Biology Classroom","type":"article-journal"},"uris":["http://www.mendeley.com/documents/?uuid=cdcb789f-2508-4d1e-be9d-0037b01ba971"]}],"mendeley":{"formattedCitation":"[37]","manualFormatting":"Bahri (2016)","plainTextFormattedCitation":"[37]","previouslyFormattedCitation":"[37]"},"properties":{"noteIndex":0},"schema":"https://github.com/citation-style-language/schema/raw/master/csl-citation.json"}</w:instrText>
      </w:r>
      <w:r>
        <w:fldChar w:fldCharType="separate"/>
      </w:r>
      <w:r>
        <w:rPr>
          <w:noProof/>
        </w:rPr>
        <w:t>Bahri (</w:t>
      </w:r>
      <w:r w:rsidRPr="000A2BEE">
        <w:rPr>
          <w:noProof/>
        </w:rPr>
        <w:t>2016)</w:t>
      </w:r>
      <w:r>
        <w:fldChar w:fldCharType="end"/>
      </w:r>
      <w:r>
        <w:t xml:space="preserve"> found a </w:t>
      </w:r>
      <w:r w:rsidRPr="000A2BEE">
        <w:t xml:space="preserve">correlation between metacognitive skills and cognitive learning outcomes </w:t>
      </w:r>
      <w:r>
        <w:t xml:space="preserve">on retention </w:t>
      </w:r>
      <w:r w:rsidRPr="000A2BEE">
        <w:t xml:space="preserve">facilitated by the PBLRQA learning model. </w:t>
      </w:r>
      <w:r w:rsidRPr="00CE2F67">
        <w:rPr>
          <w:color w:val="000000" w:themeColor="text1"/>
        </w:rPr>
        <w:t xml:space="preserve">According to </w:t>
      </w:r>
      <w:proofErr w:type="spellStart"/>
      <w:r w:rsidRPr="00CE2F67">
        <w:rPr>
          <w:color w:val="000000" w:themeColor="text1"/>
        </w:rPr>
        <w:t>Corebima</w:t>
      </w:r>
      <w:proofErr w:type="spellEnd"/>
      <w:r w:rsidRPr="00CE2F67">
        <w:rPr>
          <w:color w:val="000000" w:themeColor="text1"/>
        </w:rPr>
        <w:t xml:space="preserve"> (2009c), </w:t>
      </w:r>
      <w:r w:rsidRPr="000A2BEE">
        <w:t xml:space="preserve">applying the </w:t>
      </w:r>
      <w:r>
        <w:t xml:space="preserve">RQA model is </w:t>
      </w:r>
      <w:r w:rsidRPr="000A2BEE">
        <w:t xml:space="preserve">proven to </w:t>
      </w:r>
      <w:r>
        <w:t xml:space="preserve">motivate </w:t>
      </w:r>
      <w:r w:rsidRPr="000A2BEE">
        <w:t xml:space="preserve">students to read the assigned learning material. Thus the designed </w:t>
      </w:r>
      <w:r>
        <w:t xml:space="preserve">learning </w:t>
      </w:r>
      <w:r w:rsidRPr="000A2BEE">
        <w:t>can be implemented well, and understanding of the learning material can increase to close to 100%.</w:t>
      </w:r>
      <w:r>
        <w:t xml:space="preserve"> In addition, RQA can improve students' critical thinking skills and metacognition</w:t>
      </w:r>
      <w:r w:rsidR="002A103D">
        <w:t xml:space="preserve"> </w:t>
      </w:r>
      <w:r>
        <w:fldChar w:fldCharType="begin" w:fldLock="1"/>
      </w:r>
      <w:r w:rsidR="003C5E1E">
        <w:instrText>ADDIN CSL_CITATION {"citationItems":[{"id":"ITEM-1","itemData":{"DOI":"10.12973/eu-jer.9.1.143","ISSN":"21658714","abstract":"The empowerment of metacognitive skills has an important role in increasing the capacity of critical thinking and active control of students' cognitive processes in learning. Metacognitive skills can be enhanced through the implementation of learning strategies involving higher-order thinking. The RQA, ADI, RQA integrated with ADI are constructivistic learning strategies that can accommodate these skills. The researches specifically examining the correlation between metacognitive skills and critical thinking skills at the implementation of RQA, ADI, and RQA integrated with ADI learning strategies are still rarely found. This research is a correlational research, aiming at revealing the correlation between metacognitive skills and critical thinking skills. The data of metacognitive skills and critical thinking skills are collected by using a valid and reliable essay test. The samples of this research are the fourth semester (IV) biology education students programming Animal Physiology course in the 2016/2017 academic year consisting of 109 students. The results of this research show that (1) there was a significant correlation between metacognitive skills and critical thinking skills at the implementation of the four learning strategies, (2) the regression equations analyzed using Anova obtain regression lines (not coincide), and non parallel regression lines (intersected); meaning that there is a difference in the increase rate and magnitude of the critical thinking skills influenced by the four learning strategies. It is expected that the teachers and the lecturers always strive to improve the quality of the learning process through the implementation of active and constructive learning strategies.","author":[{"dropping-particle":"","family":"Amin","given":"Astuti Muh","non-dropping-particle":"","parse-names":false,"suffix":""},{"dropping-particle":"","family":"Corebima","given":"Aloysius Duran","non-dropping-particle":"","parse-names":false,"suffix":""},{"dropping-particle":"","family":"Zubaidah","given":"Siti","non-dropping-particle":"","parse-names":false,"suffix":""},{"dropping-particle":"","family":"Mahanal","given":"Susriyati","non-dropping-particle":"","parse-names":false,"suffix":""}],"container-title":"European Journal of Educational Research","id":"ITEM-1","issue":"1","issued":{"date-parts":[["2020"]]},"page":"143-163","title":"The correlation between metacognitive skills and critical thinking skills at the implementation of four different learning strategies in animal physiology lectures","type":"article-journal","volume":"9"},"uris":["http://www.mendeley.com/documents/?uuid=54c539ac-cd58-45d5-8170-fe5fdfc24e94"]}],"mendeley":{"formattedCitation":"[38]","plainTextFormattedCitation":"[38]","previouslyFormattedCitation":"[38]"},"properties":{"noteIndex":0},"schema":"https://github.com/citation-style-language/schema/raw/master/csl-citation.json"}</w:instrText>
      </w:r>
      <w:r>
        <w:fldChar w:fldCharType="separate"/>
      </w:r>
      <w:r w:rsidR="003C5E1E" w:rsidRPr="003C5E1E">
        <w:rPr>
          <w:noProof/>
        </w:rPr>
        <w:t>[38]</w:t>
      </w:r>
      <w:r>
        <w:fldChar w:fldCharType="end"/>
      </w:r>
      <w:r>
        <w:t xml:space="preserve">. RQA can also increase conceptual knowledge (40.57), questions (34.91), and student's understanding of the learning material </w:t>
      </w:r>
      <w:r w:rsidR="002A103D">
        <w:fldChar w:fldCharType="begin" w:fldLock="1"/>
      </w:r>
      <w:r w:rsidR="003C5E1E">
        <w:instrText>ADDIN CSL_CITATION {"citationItems":[{"id":"ITEM-1","itemData":{"DOI":"10.12973/eu-jer.9.1.143","ISSN":"21658714","abstract":"The empowerment of metacognitive skills has an important role in increasing the capacity of critical thinking and active control of students' cognitive processes in learning. Metacognitive skills can be enhanced through the implementation of learning strategies involving higher-order thinking. The RQA, ADI, RQA integrated with ADI are constructivistic learning strategies that can accommodate these skills. The researches specifically examining the correlation between metacognitive skills and critical thinking skills at the implementation of RQA, ADI, and RQA integrated with ADI learning strategies are still rarely found. This research is a correlational research, aiming at revealing the correlation between metacognitive skills and critical thinking skills. The data of metacognitive skills and critical thinking skills are collected by using a valid and reliable essay test. The samples of this research are the fourth semester (IV) biology education students programming Animal Physiology course in the 2016/2017 academic year consisting of 109 students. The results of this research show that (1) there was a significant correlation between metacognitive skills and critical thinking skills at the implementation of the four learning strategies, (2) the regression equations analyzed using Anova obtain regression lines (not coincide), and non parallel regression lines (intersected); meaning that there is a difference in the increase rate and magnitude of the critical thinking skills influenced by the four learning strategies. It is expected that the teachers and the lecturers always strive to improve the quality of the learning process through the implementation of active and constructive learning strategies.","author":[{"dropping-particle":"","family":"Amin","given":"Astuti Muh","non-dropping-particle":"","parse-names":false,"suffix":""},{"dropping-particle":"","family":"Corebima","given":"Aloysius Duran","non-dropping-particle":"","parse-names":false,"suffix":""},{"dropping-particle":"","family":"Zubaidah","given":"Siti","non-dropping-particle":"","parse-names":false,"suffix":""},{"dropping-particle":"","family":"Mahanal","given":"Susriyati","non-dropping-particle":"","parse-names":false,"suffix":""}],"container-title":"European Journal of Educational Research","id":"ITEM-1","issue":"1","issued":{"date-parts":[["2020"]]},"page":"143-163","title":"The correlation between metacognitive skills and critical thinking skills at the implementation of four different learning strategies in animal physiology lectures","type":"article-journal","volume":"9"},"uris":["http://www.mendeley.com/documents/?uuid=54c539ac-cd58-45d5-8170-fe5fdfc24e94"]}],"mendeley":{"formattedCitation":"[38]","plainTextFormattedCitation":"[38]","previouslyFormattedCitation":"[38]"},"properties":{"noteIndex":0},"schema":"https://github.com/citation-style-language/schema/raw/master/csl-citation.json"}</w:instrText>
      </w:r>
      <w:r w:rsidR="002A103D">
        <w:fldChar w:fldCharType="separate"/>
      </w:r>
      <w:r w:rsidR="003C5E1E" w:rsidRPr="003C5E1E">
        <w:rPr>
          <w:noProof/>
        </w:rPr>
        <w:t>[38]</w:t>
      </w:r>
      <w:r w:rsidR="002A103D">
        <w:fldChar w:fldCharType="end"/>
      </w:r>
      <w:r w:rsidR="002A103D">
        <w:t>,</w:t>
      </w:r>
      <w:r>
        <w:t xml:space="preserve"> </w:t>
      </w:r>
      <w:r w:rsidR="002A103D">
        <w:fldChar w:fldCharType="begin" w:fldLock="1"/>
      </w:r>
      <w:r w:rsidR="003C5E1E">
        <w:instrText>ADDIN CSL_CITATION {"citationItems":[{"id":"ITEM-1","itemData":{"DOI":"10.20431/2349-0381.0407002","abstract":"The purpose of this study was to observe the types of questions in the learning interaction to determine the distribution of cognitive, knowledge and cross section dimension. The subjects of the study were 64 students of the Genetics course with the age between 18-20 years old. The data is taken as a question frequency (percentage) of questions arising through the observation in the RQA and conventional class based on Bloom's taxonomy of Krathwohl version. Related to the cognitive dimension, Q 2 (Understand) question obtains the highest frequency (34,91%) in the RQA class but in the conventional class Q 1 (Remember) question obtains the highest one (47.62%). Related to the knowledge dimension the frequency of the Q C (Conceptual) question obtained is the highest one (40.57%) in RQA class but in the conventional class the frequency of the Q F (Factual) question is the highest one (44.44%). Related to the cross section between cognitive and knowledge dimension, the frequency of the Classify question is the highest one in the RQA class (18.87%), whereas in the conventional class the highest frequency is belonged to the List question (25.40%). The RQA learning model is suggested to be used in the genetics course because it's better potency than the conventional learning.","author":[{"dropping-particle":"","family":"Hariyadi","given":"Slamet","non-dropping-particle":"","parse-names":false,"suffix":""},{"dropping-particle":"","family":"Corebima","given":"Aloysius Duran","non-dropping-particle":"","parse-names":false,"suffix":""},{"dropping-particle":"","family":"Zubaidah","given":"Siti","non-dropping-particle":"","parse-names":false,"suffix":""}],"container-title":"International Journal of Humanities, Social Sciences and Education","id":"ITEM-1","issue":"7","issued":{"date-parts":[["2017"]]},"page":"10-18","title":"The Comparison of the Question Types in the RQA (Reading, Questioning, and Answering) Learning Model and Conventional Learning Model","type":"article-journal","volume":"4"},"uris":["http://www.mendeley.com/documents/?uuid=5f077423-e3f4-4125-85d0-67aeda752ceb"]}],"mendeley":{"formattedCitation":"[39]","plainTextFormattedCitation":"[39]","previouslyFormattedCitation":"[39]"},"properties":{"noteIndex":0},"schema":"https://github.com/citation-style-language/schema/raw/master/csl-citation.json"}</w:instrText>
      </w:r>
      <w:r w:rsidR="002A103D">
        <w:fldChar w:fldCharType="separate"/>
      </w:r>
      <w:r w:rsidR="003C5E1E" w:rsidRPr="003C5E1E">
        <w:rPr>
          <w:noProof/>
        </w:rPr>
        <w:t>[39]</w:t>
      </w:r>
      <w:r w:rsidR="002A103D">
        <w:fldChar w:fldCharType="end"/>
      </w:r>
      <w:r w:rsidR="003B4C44">
        <w:t xml:space="preserve">. </w:t>
      </w:r>
      <w:r>
        <w:t xml:space="preserve">Therefore, both PBL and RQA models are </w:t>
      </w:r>
      <w:r w:rsidRPr="00BD475E">
        <w:t xml:space="preserve">considered appropriate to be </w:t>
      </w:r>
      <w:r>
        <w:t xml:space="preserve">applied in learning strategies with a constructivist approach. These two models are not only based on the skill of </w:t>
      </w:r>
      <w:r w:rsidRPr="00BD475E">
        <w:t xml:space="preserve">memorizing concepts or facts but the process of interaction between </w:t>
      </w:r>
      <w:r>
        <w:t>students and their learning environment</w:t>
      </w:r>
      <w:r w:rsidR="00193A56">
        <w:t xml:space="preserve"> </w:t>
      </w:r>
      <w:r w:rsidR="00193A56">
        <w:fldChar w:fldCharType="begin" w:fldLock="1"/>
      </w:r>
      <w:r w:rsidR="003C5E1E">
        <w:instrText>ADDIN CSL_CITATION {"citationItems":[{"id":"ITEM-1","itemData":{"DOI":"10.22219/jpbi.v8i2.20732","ISSN":"2442-3750","abstract":"Metacognitive skills are one of the abilities required in the twenty-first century, to achieve independent learning. However, these skills still need to review whether these skills have been empowered by educators, particularly in universities. This research was aimed at determining the metacognitive skill profile of Biology Education students at the Institute of Teachers’ Education in South Sulawesi, Indonesia. This research used a descriptive quantitative method. The population of this research was all the students of the Biology Education Study Program at the non-state Institute of Teachers’ Education in South Sulawesi. The samples of this research were 356 Biology Education students in the second semester who programmed the Environmental Science course in the 2020/2021 academic year. The instrument used in this research was an essay test to measure students’ metacognitive skills in the Environmental Science course. The results of the data analysis indicate that the students’ metacognitive skills are in the category of undeveloped as much as 89.27%. Therefore, some efforts to improve students’ metacognitive skills are required by those institutes through the implementation of a learning model which can empower the metacognitive skills of the prospective Biology teacher students.","author":[{"dropping-particle":"","family":"Adiansyah","given":"Romi","non-dropping-particle":"","parse-names":false,"suffix":""},{"dropping-particle":"","family":"Amin","given":"Astuti Muh.","non-dropping-particle":"","parse-names":false,"suffix":""},{"dropping-particle":"","family":"Ardianto","given":"A.","non-dropping-particle":"","parse-names":false,"suffix":""},{"dropping-particle":"","family":"Yani","given":"Ahmad","non-dropping-particle":"","parse-names":false,"suffix":""}],"container-title":"JPBI (Jurnal Pendidikan Biologi Indonesia)","id":"ITEM-1","issue":"2","issued":{"date-parts":[["2022"]]},"page":"150-158","title":"Metacognitive skill profile of biology education students at institute of teachers’ education in South Sulawesi, Indonesia","type":"article-journal","volume":"8"},"uris":["http://www.mendeley.com/documents/?uuid=819c35e3-e749-49fe-9529-4e0b0c9c47cb"]}],"mendeley":{"formattedCitation":"[40]","plainTextFormattedCitation":"[40]","previouslyFormattedCitation":"[40]"},"properties":{"noteIndex":0},"schema":"https://github.com/citation-style-language/schema/raw/master/csl-citation.json"}</w:instrText>
      </w:r>
      <w:r w:rsidR="00193A56">
        <w:fldChar w:fldCharType="separate"/>
      </w:r>
      <w:r w:rsidR="003C5E1E" w:rsidRPr="003C5E1E">
        <w:rPr>
          <w:noProof/>
        </w:rPr>
        <w:t>[40]</w:t>
      </w:r>
      <w:r w:rsidR="00193A56">
        <w:fldChar w:fldCharType="end"/>
      </w:r>
      <w:r w:rsidR="00193A56">
        <w:t xml:space="preserve">. </w:t>
      </w:r>
      <w:r>
        <w:t xml:space="preserve">PBLRQA can be used in </w:t>
      </w:r>
      <w:r w:rsidRPr="00BD475E">
        <w:lastRenderedPageBreak/>
        <w:t xml:space="preserve">developing </w:t>
      </w:r>
      <w:r>
        <w:t xml:space="preserve">students' future life </w:t>
      </w:r>
      <w:r w:rsidRPr="00BD475E">
        <w:t>skills</w:t>
      </w:r>
      <w:r>
        <w:t xml:space="preserve">. PBLRQA can be </w:t>
      </w:r>
      <w:r w:rsidRPr="00BD475E">
        <w:t xml:space="preserve">applied in schools </w:t>
      </w:r>
      <w:r>
        <w:t xml:space="preserve">because it is </w:t>
      </w:r>
      <w:r w:rsidRPr="00BD475E">
        <w:t xml:space="preserve">problem-based, involves problem-solving thinking activities, and correlates </w:t>
      </w:r>
      <w:r>
        <w:t xml:space="preserve">with students' abilities. PBLRQA </w:t>
      </w:r>
      <w:r w:rsidRPr="00BD475E">
        <w:t xml:space="preserve">increases </w:t>
      </w:r>
      <w:r>
        <w:t>learning</w:t>
      </w:r>
      <w:r w:rsidRPr="00BD475E">
        <w:t xml:space="preserve"> motivation</w:t>
      </w:r>
      <w:r>
        <w:t xml:space="preserve">, </w:t>
      </w:r>
      <w:r w:rsidRPr="00BD475E">
        <w:t xml:space="preserve">potentially empowering metacognitive skills </w:t>
      </w:r>
      <w:r>
        <w:t xml:space="preserve">and </w:t>
      </w:r>
      <w:r w:rsidRPr="00BD475E">
        <w:t xml:space="preserve">improving </w:t>
      </w:r>
      <w:r>
        <w:t xml:space="preserve">student retention. </w:t>
      </w:r>
      <w:r>
        <w:fldChar w:fldCharType="begin" w:fldLock="1"/>
      </w:r>
      <w:r w:rsidR="003C5E1E">
        <w:instrText>ADDIN CSL_CITATION {"citationItems":[{"id":"ITEM-1","itemData":{"DOI":"10.18488/journal.61.2021.93.550.567","ISSN":"23103868","abstract":"Metacognitive skills are self-regulation activities required to achieve active learning, critical thinking, problem solving, and decision making. There is a dearth of research on the contribution of metacognitive skills for the retention of students with varying academic abilities. This research study aims to fill this gap by suggesting learning models including READS (Reading, Exploring, Answering Discussing and Summarizing) learning model, Reading, Questioning and Answering (RQA) learning model and Conventional learning models. The sample of the study comprised 206 students divided into two equal groups of 103 students, each of high academic abilities and low academic abilities. The data was collected through a test and a rubric. The results of the regression analysis show that the READS learning model was better able to improve the metacognitive skills and retention of students with lower academic abilities compared to students with upper academic abilities. The results in the RQA learning model and conventional learning models show an increase in metacognitive skills and retention of students with higher academic abilities much faster than in students with low academic abilities. This suggests that the application of the READS learning model is more suitable for students with low academic abilities. The study recommends that teachers should learn to implement effective learning models to improve the metacognitive skills and retention of the upper and lower academic ability students.","author":[{"dropping-particle":"","family":"Usman","given":"Ali","non-dropping-particle":"","parse-names":false,"suffix":""},{"dropping-particle":"","family":"Susilo","given":"Herawati","non-dropping-particle":"","parse-names":false,"suffix":""},{"dropping-particle":"","family":"Suwono","given":"Hadi","non-dropping-particle":"","parse-names":false,"suffix":""},{"dropping-particle":"","family":"Corebima","given":"A. D.","non-dropping-particle":"","parse-names":false,"suffix":""}],"container-title":"International Journal of Education and Practice","id":"ITEM-1","issue":"3","issued":{"date-parts":[["2021"]]},"page":"550-567","title":"The contributions of metacognitive skills towards the retention of different academic ability students for the implementation of several learning models","type":"article-journal","volume":"9"},"uris":["http://www.mendeley.com/documents/?uuid=53a425a2-fcce-44c4-9cec-88b87f83a13a"]}],"mendeley":{"formattedCitation":"[41]","plainTextFormattedCitation":"[41]","previouslyFormattedCitation":"[41]"},"properties":{"noteIndex":0},"schema":"https://github.com/citation-style-language/schema/raw/master/csl-citation.json"}</w:instrText>
      </w:r>
      <w:r>
        <w:fldChar w:fldCharType="separate"/>
      </w:r>
      <w:r w:rsidR="003C5E1E" w:rsidRPr="003C5E1E">
        <w:rPr>
          <w:noProof/>
        </w:rPr>
        <w:t>[41]</w:t>
      </w:r>
      <w:r>
        <w:fldChar w:fldCharType="end"/>
      </w:r>
      <w:r w:rsidRPr="00BD475E">
        <w:t>.</w:t>
      </w:r>
    </w:p>
    <w:p w14:paraId="3C92F93F" w14:textId="77777777" w:rsidR="00110F7A" w:rsidRDefault="00110F7A" w:rsidP="00110F7A">
      <w:pPr>
        <w:ind w:firstLine="709"/>
        <w:jc w:val="both"/>
      </w:pPr>
      <w:r w:rsidRPr="00773F7A">
        <w:t xml:space="preserve">Based on the facts presented in the background of </w:t>
      </w:r>
      <w:r>
        <w:t xml:space="preserve">this study, there are </w:t>
      </w:r>
      <w:r w:rsidRPr="00773F7A">
        <w:t xml:space="preserve">not many studies investigating the contribution of </w:t>
      </w:r>
      <w:r>
        <w:t>metacognitive skills with the PBLRQA model</w:t>
      </w:r>
      <w:r w:rsidRPr="00773F7A">
        <w:t xml:space="preserve">. Applying the </w:t>
      </w:r>
      <w:r>
        <w:t xml:space="preserve">right </w:t>
      </w:r>
      <w:r w:rsidRPr="00773F7A">
        <w:t xml:space="preserve">learning model </w:t>
      </w:r>
      <w:r>
        <w:t xml:space="preserve">helps </w:t>
      </w:r>
      <w:r w:rsidRPr="00773F7A">
        <w:t xml:space="preserve">teachers identify the contribution of metacognitive skills in the learning process in the </w:t>
      </w:r>
      <w:r>
        <w:t>classroom. Thus, this study aimed to analyze the effect of the PBLRQA model on the metacognition of science students.</w:t>
      </w:r>
    </w:p>
    <w:p w14:paraId="66346B86" w14:textId="77777777" w:rsidR="00110F7A" w:rsidRDefault="00110F7A" w:rsidP="00110F7A">
      <w:pPr>
        <w:ind w:firstLine="720"/>
        <w:jc w:val="both"/>
        <w:rPr>
          <w:color w:val="000000"/>
        </w:rPr>
      </w:pPr>
    </w:p>
    <w:p w14:paraId="10CEA4B6" w14:textId="77777777" w:rsidR="00F913D6" w:rsidRDefault="00F913D6" w:rsidP="00F913D6">
      <w:pPr>
        <w:jc w:val="both"/>
      </w:pPr>
    </w:p>
    <w:p w14:paraId="62918713" w14:textId="43B72511" w:rsidR="00F913D6" w:rsidRDefault="00F913D6" w:rsidP="00F913D6">
      <w:pPr>
        <w:numPr>
          <w:ilvl w:val="0"/>
          <w:numId w:val="18"/>
        </w:numPr>
        <w:tabs>
          <w:tab w:val="left" w:pos="426"/>
        </w:tabs>
        <w:ind w:left="426" w:hanging="426"/>
        <w:rPr>
          <w:b/>
          <w:bCs/>
          <w:lang w:val="id-ID"/>
        </w:rPr>
      </w:pPr>
      <w:r>
        <w:rPr>
          <w:b/>
          <w:bCs/>
          <w:lang w:val="id-ID"/>
        </w:rPr>
        <w:t>RESEARCH METHOD</w:t>
      </w:r>
      <w:r w:rsidR="00717BE4">
        <w:rPr>
          <w:b/>
          <w:bCs/>
        </w:rPr>
        <w:t xml:space="preserve"> </w:t>
      </w:r>
    </w:p>
    <w:p w14:paraId="4CC9BC43" w14:textId="77777777" w:rsidR="007A150A" w:rsidRDefault="007A150A" w:rsidP="00F913D6">
      <w:pPr>
        <w:rPr>
          <w:b/>
          <w:bCs/>
        </w:rPr>
      </w:pPr>
    </w:p>
    <w:p w14:paraId="42D391B8" w14:textId="50E334B1" w:rsidR="007A150A" w:rsidRPr="000934BE" w:rsidRDefault="007A150A" w:rsidP="007A150A">
      <w:pPr>
        <w:tabs>
          <w:tab w:val="left" w:pos="426"/>
        </w:tabs>
        <w:rPr>
          <w:b/>
          <w:bCs/>
          <w:lang w:val="id-ID"/>
        </w:rPr>
      </w:pPr>
      <w:r w:rsidRPr="000934BE">
        <w:rPr>
          <w:b/>
          <w:bCs/>
        </w:rPr>
        <w:t>2.</w:t>
      </w:r>
      <w:r w:rsidR="00055D84">
        <w:rPr>
          <w:b/>
          <w:bCs/>
        </w:rPr>
        <w:t xml:space="preserve"> </w:t>
      </w:r>
      <w:r w:rsidRPr="000934BE">
        <w:rPr>
          <w:b/>
          <w:bCs/>
        </w:rPr>
        <w:t xml:space="preserve">1   Research </w:t>
      </w:r>
      <w:r w:rsidR="000934BE" w:rsidRPr="000934BE">
        <w:rPr>
          <w:b/>
          <w:bCs/>
        </w:rPr>
        <w:t>design</w:t>
      </w:r>
    </w:p>
    <w:p w14:paraId="3923CA3E" w14:textId="1CD3F497" w:rsidR="00FB63F6" w:rsidRPr="00FB63F6" w:rsidRDefault="00FB63F6" w:rsidP="00FB63F6">
      <w:pPr>
        <w:ind w:firstLine="709"/>
        <w:jc w:val="both"/>
        <w:rPr>
          <w:bCs/>
        </w:rPr>
      </w:pPr>
      <w:bookmarkStart w:id="1" w:name="_Hlk99717863"/>
      <w:r w:rsidRPr="00FB63F6">
        <w:t xml:space="preserve">This research is a </w:t>
      </w:r>
      <w:r w:rsidRPr="00FB63F6">
        <w:rPr>
          <w:i/>
        </w:rPr>
        <w:t xml:space="preserve">quasi-experiment </w:t>
      </w:r>
      <w:r w:rsidRPr="00FB63F6">
        <w:t xml:space="preserve">with a </w:t>
      </w:r>
      <w:r w:rsidRPr="00FB63F6">
        <w:rPr>
          <w:i/>
        </w:rPr>
        <w:t xml:space="preserve">pretest-posttest nonequivalent control group </w:t>
      </w:r>
      <w:r w:rsidRPr="00FB63F6">
        <w:t xml:space="preserve">design. </w:t>
      </w:r>
      <w:r w:rsidRPr="00FB63F6">
        <w:fldChar w:fldCharType="begin" w:fldLock="1"/>
      </w:r>
      <w:r w:rsidR="003C5E1E">
        <w:instrText>ADDIN CSL_CITATION {"citationItems":[{"id":"ITEM-1","itemData":{"DOI":"10.1037/0033-2909.82.3.345","ISSN":"00332909","abstract":"Evaluates 4 statistical tests of treatment effect for the nonequivalent control group design. This design consists of pre- and posttreatment measures of a dependent variable with biased assignments to treatment groups. The biased assignment creates a treatment-pretest confounding for which different statistical techniques adjust. The different statistical tests discussed are the analysis of covariance, analysis of covariance with reliability correction, raw change score analysis, and standardized change score analysis. If assignment to treatment groups is based on the pretest score (a very infrequent event), analysis of covariance is the appropriate mode of analysis. Selection based on the pretest true scores necessitates a reliability correction procedure. Selection based on stable group differences and selection that occurs midway between the pre- and posttest necessitates change score analysis. (35 ref) (PsycINFO Database Record (c) 2006 APA, all rights reserved). © 1975 American Psychological Association.","author":[{"dropping-particle":"","family":"Kenny","given":"David A.","non-dropping-particle":"","parse-names":false,"suffix":""}],"container-title":"Psychological Bulletin","id":"ITEM-1","issue":"3","issued":{"date-parts":[["1975"]]},"page":"345-362","title":"A quasi-experimental approach to assessing treatment effects in the nonequivalent control group design","type":"article-journal","volume":"82"},"uris":["http://www.mendeley.com/documents/?uuid=0bdd741d-0a9c-48a1-8043-82be52c30ef7"]}],"mendeley":{"formattedCitation":"[42]","plainTextFormattedCitation":"[42]","previouslyFormattedCitation":"[42]"},"properties":{"noteIndex":0},"schema":"https://github.com/citation-style-language/schema/raw/master/csl-citation.json"}</w:instrText>
      </w:r>
      <w:r w:rsidRPr="00FB63F6">
        <w:fldChar w:fldCharType="separate"/>
      </w:r>
      <w:r w:rsidR="003C5E1E" w:rsidRPr="003C5E1E">
        <w:rPr>
          <w:noProof/>
        </w:rPr>
        <w:t>[42]</w:t>
      </w:r>
      <w:r w:rsidRPr="00FB63F6">
        <w:fldChar w:fldCharType="end"/>
      </w:r>
      <w:r w:rsidRPr="00FB63F6">
        <w:t>. The procedure for implementing the learning strategy treatment based on the research design is shown in Table 1.</w:t>
      </w:r>
    </w:p>
    <w:p w14:paraId="61AC90DE" w14:textId="77777777" w:rsidR="00FB63F6" w:rsidRPr="00FB63F6" w:rsidRDefault="00FB63F6" w:rsidP="00FB63F6">
      <w:pPr>
        <w:tabs>
          <w:tab w:val="left" w:pos="142"/>
        </w:tabs>
        <w:jc w:val="center"/>
      </w:pPr>
      <w:proofErr w:type="gramStart"/>
      <w:r w:rsidRPr="00FB63F6">
        <w:t>Table 1.</w:t>
      </w:r>
      <w:proofErr w:type="gramEnd"/>
      <w:r w:rsidRPr="00FB63F6">
        <w:t xml:space="preserve"> Treatment Class Based on Variables</w:t>
      </w:r>
    </w:p>
    <w:tbl>
      <w:tblPr>
        <w:tblW w:w="0" w:type="auto"/>
        <w:jc w:val="center"/>
        <w:tblBorders>
          <w:top w:val="single" w:sz="4" w:space="0" w:color="auto"/>
          <w:bottom w:val="single" w:sz="4" w:space="0" w:color="auto"/>
        </w:tblBorders>
        <w:tblLook w:val="04A0" w:firstRow="1" w:lastRow="0" w:firstColumn="1" w:lastColumn="0" w:noHBand="0" w:noVBand="1"/>
      </w:tblPr>
      <w:tblGrid>
        <w:gridCol w:w="1985"/>
        <w:gridCol w:w="2268"/>
        <w:gridCol w:w="2126"/>
      </w:tblGrid>
      <w:tr w:rsidR="00FB63F6" w:rsidRPr="00FB63F6" w14:paraId="66D3D848" w14:textId="77777777" w:rsidTr="004771B6">
        <w:trPr>
          <w:jc w:val="center"/>
        </w:trPr>
        <w:tc>
          <w:tcPr>
            <w:tcW w:w="1985" w:type="dxa"/>
            <w:tcBorders>
              <w:top w:val="single" w:sz="4" w:space="0" w:color="auto"/>
              <w:bottom w:val="single" w:sz="4" w:space="0" w:color="auto"/>
            </w:tcBorders>
          </w:tcPr>
          <w:p w14:paraId="343E8AA9" w14:textId="77777777" w:rsidR="00FB63F6" w:rsidRPr="00FB63F6" w:rsidRDefault="00FB63F6" w:rsidP="004771B6">
            <w:pPr>
              <w:jc w:val="center"/>
              <w:rPr>
                <w:sz w:val="16"/>
                <w:szCs w:val="16"/>
              </w:rPr>
            </w:pPr>
            <w:r w:rsidRPr="00FB63F6">
              <w:rPr>
                <w:sz w:val="16"/>
                <w:szCs w:val="16"/>
              </w:rPr>
              <w:t>Pretest</w:t>
            </w:r>
          </w:p>
        </w:tc>
        <w:tc>
          <w:tcPr>
            <w:tcW w:w="2268" w:type="dxa"/>
            <w:tcBorders>
              <w:top w:val="single" w:sz="4" w:space="0" w:color="auto"/>
              <w:bottom w:val="single" w:sz="4" w:space="0" w:color="auto"/>
            </w:tcBorders>
          </w:tcPr>
          <w:p w14:paraId="5E5A5274" w14:textId="77777777" w:rsidR="00FB63F6" w:rsidRPr="00FB63F6" w:rsidRDefault="00FB63F6" w:rsidP="004771B6">
            <w:pPr>
              <w:jc w:val="center"/>
              <w:rPr>
                <w:sz w:val="16"/>
                <w:szCs w:val="16"/>
              </w:rPr>
            </w:pPr>
            <w:r w:rsidRPr="00FB63F6">
              <w:rPr>
                <w:sz w:val="16"/>
                <w:szCs w:val="16"/>
              </w:rPr>
              <w:t>Treatment</w:t>
            </w:r>
          </w:p>
        </w:tc>
        <w:tc>
          <w:tcPr>
            <w:tcW w:w="2126" w:type="dxa"/>
            <w:tcBorders>
              <w:top w:val="single" w:sz="4" w:space="0" w:color="auto"/>
              <w:bottom w:val="single" w:sz="4" w:space="0" w:color="auto"/>
            </w:tcBorders>
          </w:tcPr>
          <w:p w14:paraId="4A1A1CE8" w14:textId="77777777" w:rsidR="00FB63F6" w:rsidRPr="00FB63F6" w:rsidRDefault="00FB63F6" w:rsidP="004771B6">
            <w:pPr>
              <w:jc w:val="center"/>
              <w:rPr>
                <w:sz w:val="16"/>
                <w:szCs w:val="16"/>
              </w:rPr>
            </w:pPr>
            <w:r w:rsidRPr="00FB63F6">
              <w:rPr>
                <w:sz w:val="16"/>
                <w:szCs w:val="16"/>
              </w:rPr>
              <w:t>Posttest</w:t>
            </w:r>
          </w:p>
        </w:tc>
      </w:tr>
      <w:tr w:rsidR="00FB63F6" w:rsidRPr="00FB63F6" w14:paraId="69ADCBBF" w14:textId="77777777" w:rsidTr="004771B6">
        <w:trPr>
          <w:jc w:val="center"/>
        </w:trPr>
        <w:tc>
          <w:tcPr>
            <w:tcW w:w="1985" w:type="dxa"/>
            <w:tcBorders>
              <w:top w:val="single" w:sz="4" w:space="0" w:color="auto"/>
            </w:tcBorders>
          </w:tcPr>
          <w:p w14:paraId="681D207D" w14:textId="77777777" w:rsidR="00FB63F6" w:rsidRPr="00FB63F6" w:rsidRDefault="00FB63F6" w:rsidP="004771B6">
            <w:pPr>
              <w:jc w:val="center"/>
              <w:rPr>
                <w:sz w:val="16"/>
                <w:szCs w:val="16"/>
              </w:rPr>
            </w:pPr>
            <w:r w:rsidRPr="00FB63F6">
              <w:rPr>
                <w:sz w:val="16"/>
                <w:szCs w:val="16"/>
              </w:rPr>
              <w:t>O1</w:t>
            </w:r>
          </w:p>
        </w:tc>
        <w:tc>
          <w:tcPr>
            <w:tcW w:w="2268" w:type="dxa"/>
            <w:tcBorders>
              <w:top w:val="single" w:sz="4" w:space="0" w:color="auto"/>
            </w:tcBorders>
          </w:tcPr>
          <w:p w14:paraId="40744F8D" w14:textId="77777777" w:rsidR="00FB63F6" w:rsidRPr="00FB63F6" w:rsidRDefault="00FB63F6" w:rsidP="004771B6">
            <w:pPr>
              <w:jc w:val="center"/>
              <w:rPr>
                <w:sz w:val="16"/>
                <w:szCs w:val="16"/>
              </w:rPr>
            </w:pPr>
            <w:r w:rsidRPr="00FB63F6">
              <w:rPr>
                <w:sz w:val="16"/>
                <w:szCs w:val="16"/>
              </w:rPr>
              <w:t>S1</w:t>
            </w:r>
          </w:p>
        </w:tc>
        <w:tc>
          <w:tcPr>
            <w:tcW w:w="2126" w:type="dxa"/>
            <w:tcBorders>
              <w:top w:val="single" w:sz="4" w:space="0" w:color="auto"/>
            </w:tcBorders>
          </w:tcPr>
          <w:p w14:paraId="491C9C87" w14:textId="77777777" w:rsidR="00FB63F6" w:rsidRPr="00FB63F6" w:rsidRDefault="00FB63F6" w:rsidP="004771B6">
            <w:pPr>
              <w:jc w:val="center"/>
              <w:rPr>
                <w:sz w:val="16"/>
                <w:szCs w:val="16"/>
              </w:rPr>
            </w:pPr>
            <w:r w:rsidRPr="00FB63F6">
              <w:rPr>
                <w:sz w:val="16"/>
                <w:szCs w:val="16"/>
              </w:rPr>
              <w:t>O2</w:t>
            </w:r>
          </w:p>
        </w:tc>
      </w:tr>
      <w:tr w:rsidR="00FB63F6" w:rsidRPr="00FB63F6" w14:paraId="4E23B1B6" w14:textId="77777777" w:rsidTr="004771B6">
        <w:trPr>
          <w:jc w:val="center"/>
        </w:trPr>
        <w:tc>
          <w:tcPr>
            <w:tcW w:w="1985" w:type="dxa"/>
            <w:tcBorders>
              <w:bottom w:val="single" w:sz="4" w:space="0" w:color="auto"/>
            </w:tcBorders>
          </w:tcPr>
          <w:p w14:paraId="4B6E3D05" w14:textId="77777777" w:rsidR="00FB63F6" w:rsidRPr="00FB63F6" w:rsidRDefault="00FB63F6" w:rsidP="004771B6">
            <w:pPr>
              <w:jc w:val="center"/>
              <w:rPr>
                <w:sz w:val="16"/>
                <w:szCs w:val="16"/>
              </w:rPr>
            </w:pPr>
            <w:r w:rsidRPr="00FB63F6">
              <w:rPr>
                <w:sz w:val="16"/>
                <w:szCs w:val="16"/>
              </w:rPr>
              <w:t>O3</w:t>
            </w:r>
          </w:p>
        </w:tc>
        <w:tc>
          <w:tcPr>
            <w:tcW w:w="2268" w:type="dxa"/>
            <w:tcBorders>
              <w:bottom w:val="single" w:sz="4" w:space="0" w:color="auto"/>
            </w:tcBorders>
          </w:tcPr>
          <w:p w14:paraId="5F27D277" w14:textId="77777777" w:rsidR="00FB63F6" w:rsidRPr="00FB63F6" w:rsidRDefault="00FB63F6" w:rsidP="004771B6">
            <w:pPr>
              <w:jc w:val="center"/>
              <w:rPr>
                <w:sz w:val="16"/>
                <w:szCs w:val="16"/>
              </w:rPr>
            </w:pPr>
            <w:r w:rsidRPr="00FB63F6">
              <w:rPr>
                <w:sz w:val="16"/>
                <w:szCs w:val="16"/>
              </w:rPr>
              <w:t>S2</w:t>
            </w:r>
          </w:p>
        </w:tc>
        <w:tc>
          <w:tcPr>
            <w:tcW w:w="2126" w:type="dxa"/>
            <w:tcBorders>
              <w:bottom w:val="single" w:sz="4" w:space="0" w:color="auto"/>
            </w:tcBorders>
          </w:tcPr>
          <w:p w14:paraId="15C1FD6B" w14:textId="77777777" w:rsidR="00FB63F6" w:rsidRPr="00FB63F6" w:rsidRDefault="00FB63F6" w:rsidP="004771B6">
            <w:pPr>
              <w:jc w:val="center"/>
              <w:rPr>
                <w:sz w:val="16"/>
                <w:szCs w:val="16"/>
              </w:rPr>
            </w:pPr>
            <w:r w:rsidRPr="00FB63F6">
              <w:rPr>
                <w:sz w:val="16"/>
                <w:szCs w:val="16"/>
              </w:rPr>
              <w:t>O4</w:t>
            </w:r>
          </w:p>
        </w:tc>
      </w:tr>
    </w:tbl>
    <w:p w14:paraId="6246FDE9" w14:textId="77777777" w:rsidR="00FB63F6" w:rsidRDefault="00FB63F6" w:rsidP="00FB63F6">
      <w:pPr>
        <w:rPr>
          <w:sz w:val="24"/>
          <w:szCs w:val="24"/>
        </w:rPr>
      </w:pPr>
    </w:p>
    <w:p w14:paraId="2EAD54B7" w14:textId="77777777" w:rsidR="00FB63F6" w:rsidRPr="00FB63F6" w:rsidRDefault="00FB63F6" w:rsidP="00FB63F6">
      <w:pPr>
        <w:rPr>
          <w:sz w:val="16"/>
          <w:szCs w:val="16"/>
        </w:rPr>
      </w:pPr>
      <w:r w:rsidRPr="00FB63F6">
        <w:rPr>
          <w:sz w:val="16"/>
          <w:szCs w:val="16"/>
        </w:rPr>
        <w:t>Description</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283"/>
        <w:gridCol w:w="6095"/>
      </w:tblGrid>
      <w:tr w:rsidR="00FB63F6" w:rsidRPr="00FB63F6" w14:paraId="6B43576C" w14:textId="77777777" w:rsidTr="004771B6">
        <w:tc>
          <w:tcPr>
            <w:tcW w:w="993" w:type="dxa"/>
          </w:tcPr>
          <w:p w14:paraId="4A97AFCB" w14:textId="77777777" w:rsidR="00FB63F6" w:rsidRPr="00FB63F6" w:rsidRDefault="00FB63F6" w:rsidP="004771B6">
            <w:pPr>
              <w:rPr>
                <w:sz w:val="16"/>
                <w:szCs w:val="16"/>
              </w:rPr>
            </w:pPr>
            <w:r w:rsidRPr="00FB63F6">
              <w:rPr>
                <w:sz w:val="16"/>
                <w:szCs w:val="16"/>
              </w:rPr>
              <w:t>O1, O3</w:t>
            </w:r>
          </w:p>
        </w:tc>
        <w:tc>
          <w:tcPr>
            <w:tcW w:w="283" w:type="dxa"/>
          </w:tcPr>
          <w:p w14:paraId="383FEB3E" w14:textId="77777777" w:rsidR="00FB63F6" w:rsidRPr="00FB63F6" w:rsidRDefault="00FB63F6" w:rsidP="004771B6">
            <w:pPr>
              <w:rPr>
                <w:sz w:val="16"/>
                <w:szCs w:val="16"/>
              </w:rPr>
            </w:pPr>
            <w:r w:rsidRPr="00FB63F6">
              <w:rPr>
                <w:sz w:val="16"/>
                <w:szCs w:val="16"/>
              </w:rPr>
              <w:t>:</w:t>
            </w:r>
          </w:p>
        </w:tc>
        <w:tc>
          <w:tcPr>
            <w:tcW w:w="6095" w:type="dxa"/>
          </w:tcPr>
          <w:p w14:paraId="073083F7" w14:textId="77777777" w:rsidR="00FB63F6" w:rsidRPr="00FB63F6" w:rsidRDefault="00FB63F6" w:rsidP="004771B6">
            <w:pPr>
              <w:rPr>
                <w:i/>
                <w:sz w:val="16"/>
                <w:szCs w:val="16"/>
              </w:rPr>
            </w:pPr>
            <w:r w:rsidRPr="00FB63F6">
              <w:rPr>
                <w:i/>
                <w:sz w:val="16"/>
                <w:szCs w:val="16"/>
              </w:rPr>
              <w:t xml:space="preserve">pretest </w:t>
            </w:r>
            <w:r w:rsidRPr="00FB63F6">
              <w:rPr>
                <w:sz w:val="16"/>
                <w:szCs w:val="16"/>
              </w:rPr>
              <w:t>score</w:t>
            </w:r>
          </w:p>
        </w:tc>
      </w:tr>
      <w:tr w:rsidR="00FB63F6" w:rsidRPr="00FB63F6" w14:paraId="3D6C5F3F" w14:textId="77777777" w:rsidTr="004771B6">
        <w:tc>
          <w:tcPr>
            <w:tcW w:w="993" w:type="dxa"/>
          </w:tcPr>
          <w:p w14:paraId="117DA906" w14:textId="77777777" w:rsidR="00FB63F6" w:rsidRPr="00FB63F6" w:rsidRDefault="00FB63F6" w:rsidP="004771B6">
            <w:pPr>
              <w:rPr>
                <w:sz w:val="16"/>
                <w:szCs w:val="16"/>
              </w:rPr>
            </w:pPr>
            <w:r w:rsidRPr="00FB63F6">
              <w:rPr>
                <w:sz w:val="16"/>
                <w:szCs w:val="16"/>
              </w:rPr>
              <w:t>O2, O4</w:t>
            </w:r>
          </w:p>
        </w:tc>
        <w:tc>
          <w:tcPr>
            <w:tcW w:w="283" w:type="dxa"/>
          </w:tcPr>
          <w:p w14:paraId="1CC9F61E" w14:textId="77777777" w:rsidR="00FB63F6" w:rsidRPr="00FB63F6" w:rsidRDefault="00FB63F6" w:rsidP="004771B6">
            <w:pPr>
              <w:rPr>
                <w:sz w:val="16"/>
                <w:szCs w:val="16"/>
              </w:rPr>
            </w:pPr>
            <w:r w:rsidRPr="00FB63F6">
              <w:rPr>
                <w:sz w:val="16"/>
                <w:szCs w:val="16"/>
              </w:rPr>
              <w:t>:</w:t>
            </w:r>
          </w:p>
        </w:tc>
        <w:tc>
          <w:tcPr>
            <w:tcW w:w="6095" w:type="dxa"/>
          </w:tcPr>
          <w:p w14:paraId="0AF39373" w14:textId="77777777" w:rsidR="00FB63F6" w:rsidRPr="00FB63F6" w:rsidRDefault="00FB63F6" w:rsidP="004771B6">
            <w:pPr>
              <w:rPr>
                <w:i/>
                <w:sz w:val="16"/>
                <w:szCs w:val="16"/>
              </w:rPr>
            </w:pPr>
            <w:r w:rsidRPr="00FB63F6">
              <w:rPr>
                <w:i/>
                <w:sz w:val="16"/>
                <w:szCs w:val="16"/>
              </w:rPr>
              <w:t xml:space="preserve">posttest </w:t>
            </w:r>
            <w:r w:rsidRPr="00FB63F6">
              <w:rPr>
                <w:sz w:val="16"/>
                <w:szCs w:val="16"/>
              </w:rPr>
              <w:t>score</w:t>
            </w:r>
          </w:p>
        </w:tc>
      </w:tr>
      <w:tr w:rsidR="00FB63F6" w:rsidRPr="00FB63F6" w14:paraId="787FE081" w14:textId="77777777" w:rsidTr="004771B6">
        <w:tc>
          <w:tcPr>
            <w:tcW w:w="993" w:type="dxa"/>
          </w:tcPr>
          <w:p w14:paraId="018EBDC5" w14:textId="77777777" w:rsidR="00FB63F6" w:rsidRPr="00FB63F6" w:rsidRDefault="00FB63F6" w:rsidP="004771B6">
            <w:pPr>
              <w:rPr>
                <w:sz w:val="16"/>
                <w:szCs w:val="16"/>
              </w:rPr>
            </w:pPr>
            <w:r w:rsidRPr="00FB63F6">
              <w:rPr>
                <w:sz w:val="16"/>
                <w:szCs w:val="16"/>
              </w:rPr>
              <w:t>S1</w:t>
            </w:r>
          </w:p>
        </w:tc>
        <w:tc>
          <w:tcPr>
            <w:tcW w:w="283" w:type="dxa"/>
          </w:tcPr>
          <w:p w14:paraId="5C12E5CA" w14:textId="77777777" w:rsidR="00FB63F6" w:rsidRPr="00FB63F6" w:rsidRDefault="00FB63F6" w:rsidP="004771B6">
            <w:pPr>
              <w:rPr>
                <w:sz w:val="16"/>
                <w:szCs w:val="16"/>
              </w:rPr>
            </w:pPr>
            <w:r w:rsidRPr="00FB63F6">
              <w:rPr>
                <w:sz w:val="16"/>
                <w:szCs w:val="16"/>
              </w:rPr>
              <w:t>:</w:t>
            </w:r>
          </w:p>
        </w:tc>
        <w:tc>
          <w:tcPr>
            <w:tcW w:w="6095" w:type="dxa"/>
          </w:tcPr>
          <w:p w14:paraId="5C064B34" w14:textId="77777777" w:rsidR="00FB63F6" w:rsidRPr="00FB63F6" w:rsidRDefault="00FB63F6" w:rsidP="004771B6">
            <w:pPr>
              <w:rPr>
                <w:sz w:val="16"/>
                <w:szCs w:val="16"/>
              </w:rPr>
            </w:pPr>
            <w:r w:rsidRPr="00FB63F6">
              <w:rPr>
                <w:sz w:val="16"/>
                <w:szCs w:val="16"/>
              </w:rPr>
              <w:t xml:space="preserve">PBL learning model group combined with </w:t>
            </w:r>
            <w:r w:rsidRPr="00FB63F6">
              <w:rPr>
                <w:i/>
                <w:sz w:val="16"/>
                <w:szCs w:val="16"/>
              </w:rPr>
              <w:t>RQA</w:t>
            </w:r>
          </w:p>
        </w:tc>
      </w:tr>
      <w:tr w:rsidR="00FB63F6" w:rsidRPr="00FB63F6" w14:paraId="237FB464" w14:textId="77777777" w:rsidTr="004771B6">
        <w:tc>
          <w:tcPr>
            <w:tcW w:w="993" w:type="dxa"/>
          </w:tcPr>
          <w:p w14:paraId="5CD4B42A" w14:textId="77777777" w:rsidR="00FB63F6" w:rsidRPr="00FB63F6" w:rsidRDefault="00FB63F6" w:rsidP="004771B6">
            <w:pPr>
              <w:rPr>
                <w:sz w:val="16"/>
                <w:szCs w:val="16"/>
              </w:rPr>
            </w:pPr>
            <w:r w:rsidRPr="00FB63F6">
              <w:rPr>
                <w:sz w:val="16"/>
                <w:szCs w:val="16"/>
              </w:rPr>
              <w:t>S2</w:t>
            </w:r>
          </w:p>
        </w:tc>
        <w:tc>
          <w:tcPr>
            <w:tcW w:w="283" w:type="dxa"/>
          </w:tcPr>
          <w:p w14:paraId="6710A079" w14:textId="77777777" w:rsidR="00FB63F6" w:rsidRPr="00FB63F6" w:rsidRDefault="00FB63F6" w:rsidP="004771B6">
            <w:pPr>
              <w:rPr>
                <w:sz w:val="16"/>
                <w:szCs w:val="16"/>
              </w:rPr>
            </w:pPr>
            <w:r w:rsidRPr="00FB63F6">
              <w:rPr>
                <w:sz w:val="16"/>
                <w:szCs w:val="16"/>
              </w:rPr>
              <w:t>:</w:t>
            </w:r>
          </w:p>
        </w:tc>
        <w:tc>
          <w:tcPr>
            <w:tcW w:w="6095" w:type="dxa"/>
          </w:tcPr>
          <w:p w14:paraId="03E92D68" w14:textId="77777777" w:rsidR="00FB63F6" w:rsidRPr="00FB63F6" w:rsidRDefault="00FB63F6" w:rsidP="004771B6">
            <w:pPr>
              <w:rPr>
                <w:sz w:val="16"/>
                <w:szCs w:val="16"/>
              </w:rPr>
            </w:pPr>
            <w:r w:rsidRPr="00FB63F6">
              <w:rPr>
                <w:sz w:val="16"/>
                <w:szCs w:val="16"/>
              </w:rPr>
              <w:t>PBL learning model group</w:t>
            </w:r>
          </w:p>
        </w:tc>
      </w:tr>
      <w:bookmarkEnd w:id="1"/>
    </w:tbl>
    <w:p w14:paraId="25F167B1" w14:textId="77777777" w:rsidR="00FB63F6" w:rsidRPr="00260332" w:rsidRDefault="00FB63F6" w:rsidP="00FB63F6">
      <w:pPr>
        <w:jc w:val="both"/>
        <w:rPr>
          <w:bCs/>
          <w:color w:val="FF0000"/>
        </w:rPr>
      </w:pPr>
    </w:p>
    <w:p w14:paraId="4101A433" w14:textId="77777777" w:rsidR="000934BE" w:rsidRDefault="000934BE" w:rsidP="007A150A">
      <w:pPr>
        <w:rPr>
          <w:i/>
        </w:rPr>
      </w:pPr>
    </w:p>
    <w:p w14:paraId="2FC9AEC2" w14:textId="76550430" w:rsidR="007A150A" w:rsidRPr="000934BE" w:rsidRDefault="007A150A" w:rsidP="007A150A">
      <w:pPr>
        <w:rPr>
          <w:b/>
        </w:rPr>
      </w:pPr>
      <w:r w:rsidRPr="000934BE">
        <w:rPr>
          <w:b/>
        </w:rPr>
        <w:t xml:space="preserve">2. 2 Population </w:t>
      </w:r>
      <w:r w:rsidR="000934BE" w:rsidRPr="000934BE">
        <w:rPr>
          <w:b/>
        </w:rPr>
        <w:t>and sample of research</w:t>
      </w:r>
    </w:p>
    <w:p w14:paraId="6AF296BA" w14:textId="6A517305" w:rsidR="007A150A" w:rsidRDefault="00FB63F6" w:rsidP="00FB63F6">
      <w:pPr>
        <w:ind w:firstLine="720"/>
        <w:jc w:val="both"/>
        <w:rPr>
          <w:bCs/>
        </w:rPr>
      </w:pPr>
      <w:r w:rsidRPr="00FB63F6">
        <w:t xml:space="preserve">The population of this study was all students of the Elementary School Teacher Education Study Program, Faculty of Teacher Training and Education, </w:t>
      </w:r>
      <w:proofErr w:type="spellStart"/>
      <w:r w:rsidRPr="00FB63F6">
        <w:t>Pattimura</w:t>
      </w:r>
      <w:proofErr w:type="spellEnd"/>
      <w:r w:rsidRPr="00FB63F6">
        <w:t xml:space="preserve"> University, in the second semester who took the basic concepts of science course (the topic taught was Biology) with a total of 4 classes. Determination of the research sample class was carried out by </w:t>
      </w:r>
      <w:r w:rsidRPr="00FB63F6">
        <w:rPr>
          <w:i/>
        </w:rPr>
        <w:t>random sampling</w:t>
      </w:r>
      <w:r w:rsidRPr="00FB63F6">
        <w:t xml:space="preserve">. Each learning model was represented by one class as a </w:t>
      </w:r>
      <w:r w:rsidRPr="00FB63F6">
        <w:rPr>
          <w:i/>
        </w:rPr>
        <w:t xml:space="preserve">PBL class </w:t>
      </w:r>
      <w:r w:rsidRPr="00FB63F6">
        <w:t xml:space="preserve">combined with </w:t>
      </w:r>
      <w:r w:rsidRPr="00FB63F6">
        <w:rPr>
          <w:i/>
        </w:rPr>
        <w:t xml:space="preserve">RQA </w:t>
      </w:r>
      <w:r w:rsidRPr="00FB63F6">
        <w:t>and one other class as a PBL class. The number of classes used was 2, totaling 57 students.</w:t>
      </w:r>
    </w:p>
    <w:p w14:paraId="51B68632" w14:textId="77777777" w:rsidR="00FB63F6" w:rsidRPr="00FB63F6" w:rsidRDefault="00FB63F6" w:rsidP="00FB63F6">
      <w:pPr>
        <w:ind w:firstLine="720"/>
        <w:jc w:val="both"/>
        <w:rPr>
          <w:bCs/>
        </w:rPr>
      </w:pPr>
    </w:p>
    <w:p w14:paraId="179F24A6" w14:textId="1A0ACF9A" w:rsidR="007A150A" w:rsidRPr="000934BE" w:rsidRDefault="008A72BD" w:rsidP="008A72BD">
      <w:pPr>
        <w:rPr>
          <w:b/>
        </w:rPr>
      </w:pPr>
      <w:r w:rsidRPr="000934BE">
        <w:rPr>
          <w:b/>
        </w:rPr>
        <w:t xml:space="preserve">2. 3 </w:t>
      </w:r>
      <w:r w:rsidR="007A150A" w:rsidRPr="000934BE">
        <w:rPr>
          <w:b/>
        </w:rPr>
        <w:t xml:space="preserve">Research </w:t>
      </w:r>
      <w:r w:rsidR="000934BE" w:rsidRPr="000934BE">
        <w:rPr>
          <w:b/>
        </w:rPr>
        <w:t>instrument</w:t>
      </w:r>
    </w:p>
    <w:p w14:paraId="2C1A4A06" w14:textId="35798CB4" w:rsidR="00FB63F6" w:rsidRPr="00FB63F6" w:rsidRDefault="00FB63F6" w:rsidP="00FB63F6">
      <w:pPr>
        <w:ind w:firstLine="709"/>
        <w:jc w:val="both"/>
        <w:rPr>
          <w:b/>
        </w:rPr>
      </w:pPr>
      <w:r w:rsidRPr="00FB63F6">
        <w:t xml:space="preserve">The instrument applied was a metacognitive awareness questionnaire. The metacognitive awareness questionnaire was adapted from the MAI </w:t>
      </w:r>
      <w:r w:rsidRPr="00FB63F6">
        <w:fldChar w:fldCharType="begin" w:fldLock="1"/>
      </w:r>
      <w:r w:rsidR="003C5E1E">
        <w:instrText>ADDIN CSL_CITATION {"citationItems":[{"id":"ITEM-1","itemData":{"abstract":"I describe two aspects of metacognition, knowledge of cognition and regulation of cognition, and how they are related to domain-specific knowledge and cognitive abilities. I argue that metacognitive knowledge is multidimensional, domain-general in nature, and teach-able. Four instructional strategies are described for promoting the construction and acquisition of metacognitive awareness. These include promoting general awareness, improving self-knowledge and regulatory skills, and promoting learning environments that are conducive to the construction and use of metacognition. This paper makes three proposals: (a) metacognition is a multidimensional phenomenon, (b) it is domain-general in nature, and (c) metacognitive knowledge and regulation can be improved using a variety of instructional strategies. Let me acknowledge at the beginning that each of these proposals is somewhat speculative. While there is a limited amount of research that supports them, more research is needed to clarify them. Each one of these proposals is addressed in a separate section of the paper. The first makes a distinction between knowledge of cognition and regulation of cognition. The second summarizes some of the recent research examining the relationship of metacognition to expertise and cognitive abilities. The third section describes four general instructional strategies for improving metacognition. These include fostering construction of new knowledge, explicating conditional knowledge, automatizing a monitoring heuristic, and creating a supportive motivational environment in the classroom. I conclude with a few thoughts about general cognitive skills instruction. A framework for understanding metacognition Researchers have been studying metacognition for over twenty years. Most agree that cognition and metacognition differ in that cognitive skills are necessary to perform a task, while metacognition is necessary to understand how the task was performed (Garner, 1987). Most researchers also make a","author":[{"dropping-particle":"","family":"Schraw","given":"Gregory","non-dropping-particle":"","parse-names":false,"suffix":""}],"container-title":"Instructional Science","id":"ITEM-1","issued":{"date-parts":[["1998"]]},"page":"113-125","title":"Promoting general metacognitive awareness","type":"article-journal","volume":"26"},"uris":["http://www.mendeley.com/documents/?uuid=e99dd4ee-7139-40c2-9fea-6e3239238b4b"]}],"mendeley":{"formattedCitation":"[43]","plainTextFormattedCitation":"[43]","previouslyFormattedCitation":"[43]"},"properties":{"noteIndex":0},"schema":"https://github.com/citation-style-language/schema/raw/master/csl-citation.json"}</w:instrText>
      </w:r>
      <w:r w:rsidRPr="00FB63F6">
        <w:fldChar w:fldCharType="separate"/>
      </w:r>
      <w:r w:rsidR="003C5E1E" w:rsidRPr="003C5E1E">
        <w:rPr>
          <w:noProof/>
        </w:rPr>
        <w:t>[43]</w:t>
      </w:r>
      <w:r w:rsidRPr="00FB63F6">
        <w:fldChar w:fldCharType="end"/>
      </w:r>
      <w:r w:rsidRPr="00FB63F6">
        <w:t xml:space="preserve"> and SEMLI-S </w:t>
      </w:r>
      <w:r w:rsidRPr="00FB63F6">
        <w:fldChar w:fldCharType="begin" w:fldLock="1"/>
      </w:r>
      <w:r w:rsidR="003C5E1E">
        <w:instrText>ADDIN CSL_CITATION {"citationItems":[{"id":"ITEM-1","itemData":{"DOI":"10.1080/09500690701482493","ISSN":"09500693","abstract":"The development and evaluation of science students' metacognition, learning processes and self-efficacy are important for improving science education. This paper reports on the development of an empirical self-report instrument for providing a measure of students' metacognition, self-efficacy and constructivist science learning processes. A review of the range of literature related to metacognition, self-regulation and constructivist learning processes resulted in the development of an initial bilingual (English and traditional Chinese) instrument composed of 72 items. This instrument was completed by 465 Hong Kong high school students. The data collected were subjected to exploratory factor analysis and Rasch analysis. The subsequent refinement process resulted in a final version of the Self-Efficacy and Metacognition Learning Inventory-Science (SEMLI-S) consisting of 30 items that can be used for either analysing and focusing on any or all of its dimensions or for assigning scores to individuals that enable comparison between them in relation to their metacognitive science learning orientations.","author":[{"dropping-particle":"","family":"Thomas","given":"Gregory","non-dropping-particle":"","parse-names":false,"suffix":""},{"dropping-particle":"","family":"Anderson","given":"David","non-dropping-particle":"","parse-names":false,"suffix":""},{"dropping-particle":"","family":"Nashon","given":"Samson","non-dropping-particle":"","parse-names":false,"suffix":""}],"container-title":"International Journal of Science Education","id":"ITEM-1","issue":"13","issued":{"date-parts":[["2008"]]},"page":"1701-1724","title":"Development of an instrument designed to investigate elements of science students' metacognition, self-efficacy and learning processes: The SEMLI-S","type":"article-journal","volume":"30"},"uris":["http://www.mendeley.com/documents/?uuid=614c11ab-fe51-49a5-962c-db566e75e992"]}],"mendeley":{"formattedCitation":"[44]","plainTextFormattedCitation":"[44]","previouslyFormattedCitation":"[44]"},"properties":{"noteIndex":0},"schema":"https://github.com/citation-style-language/schema/raw/master/csl-citation.json"}</w:instrText>
      </w:r>
      <w:r w:rsidRPr="00FB63F6">
        <w:fldChar w:fldCharType="separate"/>
      </w:r>
      <w:r w:rsidR="003C5E1E" w:rsidRPr="003C5E1E">
        <w:rPr>
          <w:noProof/>
        </w:rPr>
        <w:t>[44]</w:t>
      </w:r>
      <w:r w:rsidRPr="00FB63F6">
        <w:fldChar w:fldCharType="end"/>
      </w:r>
      <w:r w:rsidRPr="00FB63F6">
        <w:t xml:space="preserve">. This inventory consists of 34 statement items divided into </w:t>
      </w:r>
      <w:r w:rsidRPr="00FB63F6">
        <w:rPr>
          <w:i/>
        </w:rPr>
        <w:t xml:space="preserve">planning, monitoring, evaluating, </w:t>
      </w:r>
      <w:r w:rsidRPr="00FB63F6">
        <w:t xml:space="preserve">and </w:t>
      </w:r>
      <w:r w:rsidRPr="00FB63F6">
        <w:rPr>
          <w:i/>
        </w:rPr>
        <w:t>revising</w:t>
      </w:r>
      <w:r w:rsidRPr="00FB63F6">
        <w:t xml:space="preserve"> skills. In addition, a student response questionnaire was also given to the implementation of the PBL learning model combined with RQA. </w:t>
      </w:r>
    </w:p>
    <w:p w14:paraId="1C30D6C1" w14:textId="69B3A6FE" w:rsidR="00055D84" w:rsidRPr="00055D84" w:rsidRDefault="00055D84" w:rsidP="00055D84">
      <w:pPr>
        <w:ind w:firstLine="709"/>
        <w:jc w:val="both"/>
        <w:rPr>
          <w:bCs/>
        </w:rPr>
      </w:pPr>
    </w:p>
    <w:p w14:paraId="71C5AE57" w14:textId="28514C3D" w:rsidR="007A150A" w:rsidRPr="000934BE" w:rsidRDefault="008D79C1" w:rsidP="00745C1A">
      <w:pPr>
        <w:rPr>
          <w:b/>
        </w:rPr>
      </w:pPr>
      <w:proofErr w:type="gramStart"/>
      <w:r w:rsidRPr="000934BE">
        <w:rPr>
          <w:b/>
        </w:rPr>
        <w:t xml:space="preserve">2. 4 </w:t>
      </w:r>
      <w:r w:rsidR="007A150A" w:rsidRPr="000934BE">
        <w:rPr>
          <w:b/>
        </w:rPr>
        <w:t xml:space="preserve">Research </w:t>
      </w:r>
      <w:r w:rsidR="000934BE" w:rsidRPr="000934BE">
        <w:rPr>
          <w:b/>
        </w:rPr>
        <w:t>procedure</w:t>
      </w:r>
      <w:proofErr w:type="gramEnd"/>
    </w:p>
    <w:p w14:paraId="074FC353" w14:textId="750F6277" w:rsidR="007A150A" w:rsidRDefault="00FB63F6" w:rsidP="00FB63F6">
      <w:pPr>
        <w:autoSpaceDE w:val="0"/>
        <w:autoSpaceDN w:val="0"/>
        <w:adjustRightInd w:val="0"/>
        <w:ind w:firstLine="709"/>
        <w:jc w:val="both"/>
      </w:pPr>
      <w:r w:rsidRPr="00FB63F6">
        <w:rPr>
          <w:bCs/>
        </w:rPr>
        <w:t xml:space="preserve">The research data was collected through the following activities: 1) </w:t>
      </w:r>
      <w:r w:rsidRPr="00FB63F6">
        <w:t>Giving a metacognitive awareness questionnaire to determine awareness before and after lectures in the research classes. 2) Observe the lesson plan implementation by using the observation sheet and giving a checklist (</w:t>
      </w:r>
      <w:r w:rsidRPr="00FB63F6">
        <w:rPr>
          <w:rFonts w:ascii="Symbol" w:hAnsi="Symbol"/>
        </w:rPr>
        <w:sym w:font="Symbol" w:char="F0D6"/>
      </w:r>
      <w:r w:rsidRPr="00FB63F6">
        <w:t xml:space="preserve"> ) on the appropriate statement. 3) Giving a questionnaire of student responses to each lecture in a class that uses the RQA model combined with PBL. </w:t>
      </w:r>
    </w:p>
    <w:p w14:paraId="6A416876" w14:textId="77777777" w:rsidR="00FB63F6" w:rsidRPr="00260332" w:rsidRDefault="00FB63F6" w:rsidP="00FB63F6">
      <w:pPr>
        <w:autoSpaceDE w:val="0"/>
        <w:autoSpaceDN w:val="0"/>
        <w:adjustRightInd w:val="0"/>
        <w:ind w:firstLine="709"/>
        <w:jc w:val="both"/>
      </w:pPr>
    </w:p>
    <w:p w14:paraId="1A04FA08" w14:textId="15EE2C57" w:rsidR="007A150A" w:rsidRPr="000934BE" w:rsidRDefault="00745C1A" w:rsidP="00745C1A">
      <w:pPr>
        <w:rPr>
          <w:b/>
          <w:bCs/>
        </w:rPr>
      </w:pPr>
      <w:r w:rsidRPr="000934BE">
        <w:rPr>
          <w:b/>
          <w:bCs/>
        </w:rPr>
        <w:t xml:space="preserve">2. 5 </w:t>
      </w:r>
      <w:r w:rsidR="007A150A" w:rsidRPr="000934BE">
        <w:rPr>
          <w:b/>
          <w:bCs/>
        </w:rPr>
        <w:t xml:space="preserve">Data </w:t>
      </w:r>
      <w:r w:rsidR="000934BE" w:rsidRPr="000934BE">
        <w:rPr>
          <w:b/>
          <w:bCs/>
        </w:rPr>
        <w:t>analysis</w:t>
      </w:r>
    </w:p>
    <w:p w14:paraId="5887B400" w14:textId="40504799" w:rsidR="00FB63F6" w:rsidRPr="009376EA" w:rsidRDefault="00FB63F6" w:rsidP="009376EA">
      <w:pPr>
        <w:ind w:firstLine="709"/>
        <w:jc w:val="both"/>
        <w:rPr>
          <w:bCs/>
          <w:lang w:val="en-GB" w:eastAsia="en-GB"/>
        </w:rPr>
      </w:pPr>
      <w:r w:rsidRPr="00FB63F6">
        <w:rPr>
          <w:bCs/>
        </w:rPr>
        <w:t>The research data were analyzed quantitatively. Inferential statistical data analysis through covariate analysis was carried out if necessary for hypothesis testing</w:t>
      </w:r>
      <w:r w:rsidRPr="00FB63F6">
        <w:t xml:space="preserve">. </w:t>
      </w:r>
    </w:p>
    <w:p w14:paraId="69115477" w14:textId="77777777" w:rsidR="00FB63F6" w:rsidRDefault="00FB63F6" w:rsidP="00F913D6">
      <w:pPr>
        <w:rPr>
          <w:b/>
          <w:bCs/>
        </w:rPr>
      </w:pPr>
    </w:p>
    <w:p w14:paraId="77117292" w14:textId="750CE2E8" w:rsidR="00F913D6" w:rsidRPr="009869B1" w:rsidRDefault="00F913D6" w:rsidP="00F913D6">
      <w:pPr>
        <w:numPr>
          <w:ilvl w:val="0"/>
          <w:numId w:val="18"/>
        </w:numPr>
        <w:tabs>
          <w:tab w:val="left" w:pos="426"/>
        </w:tabs>
        <w:ind w:left="426" w:hanging="426"/>
        <w:rPr>
          <w:b/>
          <w:bCs/>
          <w:lang w:val="id-ID"/>
        </w:rPr>
      </w:pPr>
      <w:r>
        <w:rPr>
          <w:b/>
          <w:bCs/>
          <w:lang w:val="id-ID"/>
        </w:rPr>
        <w:t xml:space="preserve">RESULTS </w:t>
      </w:r>
      <w:r>
        <w:rPr>
          <w:b/>
          <w:bCs/>
        </w:rPr>
        <w:t>A</w:t>
      </w:r>
      <w:r w:rsidR="009869B1">
        <w:rPr>
          <w:b/>
          <w:bCs/>
          <w:lang w:val="id-ID"/>
        </w:rPr>
        <w:t xml:space="preserve">ND </w:t>
      </w:r>
      <w:r w:rsidR="009869B1">
        <w:rPr>
          <w:b/>
          <w:bCs/>
        </w:rPr>
        <w:t>DISCUSSION</w:t>
      </w:r>
    </w:p>
    <w:p w14:paraId="2795B6B9" w14:textId="00CEB732" w:rsidR="009869B1" w:rsidRPr="009869B1" w:rsidRDefault="009869B1" w:rsidP="009869B1">
      <w:pPr>
        <w:jc w:val="both"/>
      </w:pPr>
    </w:p>
    <w:p w14:paraId="10C6031B" w14:textId="77777777" w:rsidR="004C584E" w:rsidRPr="004C584E" w:rsidRDefault="004C584E" w:rsidP="004C584E">
      <w:pPr>
        <w:ind w:firstLine="709"/>
        <w:jc w:val="both"/>
      </w:pPr>
      <w:r w:rsidRPr="004C584E">
        <w:t xml:space="preserve">In the research results section, the research results are described concerning the results of statistical analysis tests. This study aimed to examine the effect of the PBLRQA model on metacognition in basic science concepts lectures. As an important part of hypothesis testing, the prerequisite test consists of normality and homogeneity tests. The data tested consisted of pretest and posttest data of metacognitive awareness. The normality test results on metacognitive awareness data in learning using PBL and PBL &amp; </w:t>
      </w:r>
      <w:r w:rsidRPr="004C584E">
        <w:lastRenderedPageBreak/>
        <w:t xml:space="preserve">RQA using unstandardized residual values with linear regression followed by </w:t>
      </w:r>
      <w:r w:rsidRPr="004C584E">
        <w:rPr>
          <w:i/>
        </w:rPr>
        <w:t xml:space="preserve">One-Sample Kolmogorov Smirnov Test </w:t>
      </w:r>
      <w:r w:rsidRPr="004C584E">
        <w:t xml:space="preserve">analysis. </w:t>
      </w:r>
    </w:p>
    <w:p w14:paraId="1771E51F" w14:textId="77777777" w:rsidR="004C584E" w:rsidRPr="004C584E" w:rsidRDefault="004C584E" w:rsidP="004C584E">
      <w:pPr>
        <w:ind w:firstLine="709"/>
        <w:jc w:val="both"/>
      </w:pPr>
    </w:p>
    <w:p w14:paraId="076FA697" w14:textId="77777777" w:rsidR="004C584E" w:rsidRPr="004C584E" w:rsidRDefault="004C584E" w:rsidP="004C584E">
      <w:pPr>
        <w:ind w:firstLine="709"/>
        <w:jc w:val="center"/>
      </w:pPr>
      <w:proofErr w:type="gramStart"/>
      <w:r w:rsidRPr="004C584E">
        <w:t>Table 2.</w:t>
      </w:r>
      <w:proofErr w:type="gramEnd"/>
      <w:r w:rsidRPr="004C584E">
        <w:t xml:space="preserve"> The Normality Test Results of Metacognitive Awareness Data</w:t>
      </w:r>
    </w:p>
    <w:tbl>
      <w:tblPr>
        <w:tblW w:w="7797" w:type="dxa"/>
        <w:jc w:val="center"/>
        <w:tblInd w:w="30" w:type="dxa"/>
        <w:tblBorders>
          <w:top w:val="single" w:sz="4" w:space="0" w:color="auto"/>
          <w:bottom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977"/>
        <w:gridCol w:w="1559"/>
        <w:gridCol w:w="3261"/>
      </w:tblGrid>
      <w:tr w:rsidR="004C584E" w:rsidRPr="004C584E" w14:paraId="52007B2C" w14:textId="77777777" w:rsidTr="004C584E">
        <w:trPr>
          <w:cantSplit/>
          <w:tblHeader/>
          <w:jc w:val="center"/>
        </w:trPr>
        <w:tc>
          <w:tcPr>
            <w:tcW w:w="7797" w:type="dxa"/>
            <w:gridSpan w:val="3"/>
            <w:shd w:val="clear" w:color="auto" w:fill="FFFFFF"/>
            <w:tcMar>
              <w:top w:w="30" w:type="dxa"/>
              <w:left w:w="30" w:type="dxa"/>
              <w:bottom w:w="30" w:type="dxa"/>
              <w:right w:w="30" w:type="dxa"/>
            </w:tcMar>
            <w:vAlign w:val="center"/>
          </w:tcPr>
          <w:p w14:paraId="6156978A" w14:textId="77777777" w:rsidR="004C584E" w:rsidRPr="004C584E" w:rsidRDefault="004C584E" w:rsidP="004C584E">
            <w:pPr>
              <w:autoSpaceDE w:val="0"/>
              <w:autoSpaceDN w:val="0"/>
              <w:adjustRightInd w:val="0"/>
              <w:jc w:val="both"/>
              <w:rPr>
                <w:i/>
                <w:color w:val="000000"/>
                <w:sz w:val="16"/>
                <w:szCs w:val="16"/>
              </w:rPr>
            </w:pPr>
            <w:r w:rsidRPr="004C584E">
              <w:rPr>
                <w:b/>
                <w:bCs/>
                <w:i/>
                <w:color w:val="000000"/>
                <w:sz w:val="16"/>
                <w:szCs w:val="16"/>
              </w:rPr>
              <w:t>One-Sample Kolmogorov-Smirnov Test</w:t>
            </w:r>
          </w:p>
        </w:tc>
      </w:tr>
      <w:tr w:rsidR="004C584E" w:rsidRPr="004C584E" w14:paraId="2605E3F5" w14:textId="77777777" w:rsidTr="004C584E">
        <w:trPr>
          <w:cantSplit/>
          <w:trHeight w:val="45"/>
          <w:tblHeader/>
          <w:jc w:val="center"/>
        </w:trPr>
        <w:tc>
          <w:tcPr>
            <w:tcW w:w="4536" w:type="dxa"/>
            <w:gridSpan w:val="2"/>
            <w:tcBorders>
              <w:right w:val="nil"/>
            </w:tcBorders>
            <w:shd w:val="clear" w:color="auto" w:fill="FFFFFF"/>
            <w:tcMar>
              <w:top w:w="30" w:type="dxa"/>
              <w:left w:w="30" w:type="dxa"/>
              <w:bottom w:w="30" w:type="dxa"/>
              <w:right w:w="30" w:type="dxa"/>
            </w:tcMar>
          </w:tcPr>
          <w:p w14:paraId="7782325B" w14:textId="77777777" w:rsidR="004C584E" w:rsidRPr="004C584E" w:rsidRDefault="004C584E" w:rsidP="004C584E">
            <w:pPr>
              <w:autoSpaceDE w:val="0"/>
              <w:autoSpaceDN w:val="0"/>
              <w:adjustRightInd w:val="0"/>
              <w:jc w:val="both"/>
              <w:rPr>
                <w:sz w:val="16"/>
                <w:szCs w:val="16"/>
              </w:rPr>
            </w:pPr>
          </w:p>
        </w:tc>
        <w:tc>
          <w:tcPr>
            <w:tcW w:w="3261" w:type="dxa"/>
            <w:tcBorders>
              <w:left w:val="nil"/>
            </w:tcBorders>
            <w:shd w:val="clear" w:color="auto" w:fill="FFFFFF"/>
            <w:tcMar>
              <w:top w:w="30" w:type="dxa"/>
              <w:left w:w="30" w:type="dxa"/>
              <w:bottom w:w="30" w:type="dxa"/>
              <w:right w:w="30" w:type="dxa"/>
            </w:tcMar>
            <w:vAlign w:val="bottom"/>
          </w:tcPr>
          <w:p w14:paraId="58D2B210"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Unstandardized Residual</w:t>
            </w:r>
          </w:p>
        </w:tc>
      </w:tr>
      <w:tr w:rsidR="004C584E" w:rsidRPr="004C584E" w14:paraId="20D27474" w14:textId="77777777" w:rsidTr="004C584E">
        <w:trPr>
          <w:cantSplit/>
          <w:trHeight w:val="207"/>
          <w:tblHeader/>
          <w:jc w:val="center"/>
        </w:trPr>
        <w:tc>
          <w:tcPr>
            <w:tcW w:w="4536" w:type="dxa"/>
            <w:gridSpan w:val="2"/>
            <w:tcBorders>
              <w:bottom w:val="nil"/>
              <w:right w:val="nil"/>
            </w:tcBorders>
            <w:shd w:val="clear" w:color="auto" w:fill="FFFFFF"/>
            <w:tcMar>
              <w:top w:w="30" w:type="dxa"/>
              <w:left w:w="30" w:type="dxa"/>
              <w:bottom w:w="30" w:type="dxa"/>
              <w:right w:w="30" w:type="dxa"/>
            </w:tcMar>
          </w:tcPr>
          <w:p w14:paraId="4B07072B"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N</w:t>
            </w:r>
          </w:p>
        </w:tc>
        <w:tc>
          <w:tcPr>
            <w:tcW w:w="3261" w:type="dxa"/>
            <w:tcBorders>
              <w:left w:val="nil"/>
              <w:bottom w:val="nil"/>
            </w:tcBorders>
            <w:shd w:val="clear" w:color="auto" w:fill="FFFFFF"/>
            <w:tcMar>
              <w:top w:w="30" w:type="dxa"/>
              <w:left w:w="30" w:type="dxa"/>
              <w:bottom w:w="30" w:type="dxa"/>
              <w:right w:w="30" w:type="dxa"/>
            </w:tcMar>
            <w:vAlign w:val="center"/>
          </w:tcPr>
          <w:p w14:paraId="67AADC4D"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57</w:t>
            </w:r>
          </w:p>
        </w:tc>
      </w:tr>
      <w:tr w:rsidR="004C584E" w:rsidRPr="004C584E" w14:paraId="155F8AF4" w14:textId="77777777" w:rsidTr="004C584E">
        <w:trPr>
          <w:cantSplit/>
          <w:tblHeader/>
          <w:jc w:val="center"/>
        </w:trPr>
        <w:tc>
          <w:tcPr>
            <w:tcW w:w="2977" w:type="dxa"/>
            <w:vMerge w:val="restart"/>
            <w:tcBorders>
              <w:top w:val="nil"/>
              <w:bottom w:val="nil"/>
              <w:right w:val="nil"/>
            </w:tcBorders>
            <w:shd w:val="clear" w:color="auto" w:fill="FFFFFF"/>
            <w:tcMar>
              <w:top w:w="30" w:type="dxa"/>
              <w:left w:w="30" w:type="dxa"/>
              <w:bottom w:w="30" w:type="dxa"/>
              <w:right w:w="30" w:type="dxa"/>
            </w:tcMar>
          </w:tcPr>
          <w:p w14:paraId="44CA50FE"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Normal Parameters</w:t>
            </w:r>
          </w:p>
        </w:tc>
        <w:tc>
          <w:tcPr>
            <w:tcW w:w="1559" w:type="dxa"/>
            <w:tcBorders>
              <w:top w:val="nil"/>
              <w:left w:val="nil"/>
              <w:bottom w:val="nil"/>
              <w:right w:val="nil"/>
            </w:tcBorders>
            <w:shd w:val="clear" w:color="auto" w:fill="FFFFFF"/>
            <w:tcMar>
              <w:top w:w="30" w:type="dxa"/>
              <w:left w:w="30" w:type="dxa"/>
              <w:bottom w:w="30" w:type="dxa"/>
              <w:right w:w="30" w:type="dxa"/>
            </w:tcMar>
          </w:tcPr>
          <w:p w14:paraId="20920BB9"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Mean</w:t>
            </w:r>
          </w:p>
        </w:tc>
        <w:tc>
          <w:tcPr>
            <w:tcW w:w="3261" w:type="dxa"/>
            <w:tcBorders>
              <w:top w:val="nil"/>
              <w:left w:val="nil"/>
              <w:bottom w:val="nil"/>
            </w:tcBorders>
            <w:shd w:val="clear" w:color="auto" w:fill="FFFFFF"/>
            <w:tcMar>
              <w:top w:w="30" w:type="dxa"/>
              <w:left w:w="30" w:type="dxa"/>
              <w:bottom w:w="30" w:type="dxa"/>
              <w:right w:w="30" w:type="dxa"/>
            </w:tcMar>
            <w:vAlign w:val="center"/>
          </w:tcPr>
          <w:p w14:paraId="1DD87DD1"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.0000000</w:t>
            </w:r>
          </w:p>
        </w:tc>
      </w:tr>
      <w:tr w:rsidR="004C584E" w:rsidRPr="004C584E" w14:paraId="7E69695F" w14:textId="77777777" w:rsidTr="004C584E">
        <w:trPr>
          <w:cantSplit/>
          <w:tblHeader/>
          <w:jc w:val="center"/>
        </w:trPr>
        <w:tc>
          <w:tcPr>
            <w:tcW w:w="2977" w:type="dxa"/>
            <w:vMerge/>
            <w:tcBorders>
              <w:top w:val="nil"/>
              <w:bottom w:val="nil"/>
              <w:right w:val="nil"/>
            </w:tcBorders>
            <w:shd w:val="clear" w:color="auto" w:fill="FFFFFF"/>
            <w:tcMar>
              <w:top w:w="30" w:type="dxa"/>
              <w:left w:w="30" w:type="dxa"/>
              <w:bottom w:w="30" w:type="dxa"/>
              <w:right w:w="30" w:type="dxa"/>
            </w:tcMar>
          </w:tcPr>
          <w:p w14:paraId="0D6265D2" w14:textId="77777777" w:rsidR="004C584E" w:rsidRPr="004C584E" w:rsidRDefault="004C584E" w:rsidP="004C584E">
            <w:pPr>
              <w:autoSpaceDE w:val="0"/>
              <w:autoSpaceDN w:val="0"/>
              <w:adjustRightInd w:val="0"/>
              <w:jc w:val="both"/>
              <w:rPr>
                <w:color w:val="000000"/>
                <w:sz w:val="16"/>
                <w:szCs w:val="16"/>
              </w:rPr>
            </w:pPr>
          </w:p>
        </w:tc>
        <w:tc>
          <w:tcPr>
            <w:tcW w:w="1559" w:type="dxa"/>
            <w:tcBorders>
              <w:top w:val="nil"/>
              <w:left w:val="nil"/>
              <w:bottom w:val="nil"/>
              <w:right w:val="nil"/>
            </w:tcBorders>
            <w:shd w:val="clear" w:color="auto" w:fill="FFFFFF"/>
            <w:tcMar>
              <w:top w:w="30" w:type="dxa"/>
              <w:left w:w="30" w:type="dxa"/>
              <w:bottom w:w="30" w:type="dxa"/>
              <w:right w:w="30" w:type="dxa"/>
            </w:tcMar>
          </w:tcPr>
          <w:p w14:paraId="12E8DF17"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Std. Deviation</w:t>
            </w:r>
          </w:p>
        </w:tc>
        <w:tc>
          <w:tcPr>
            <w:tcW w:w="3261" w:type="dxa"/>
            <w:tcBorders>
              <w:top w:val="nil"/>
              <w:left w:val="nil"/>
              <w:bottom w:val="nil"/>
            </w:tcBorders>
            <w:shd w:val="clear" w:color="auto" w:fill="FFFFFF"/>
            <w:tcMar>
              <w:top w:w="30" w:type="dxa"/>
              <w:left w:w="30" w:type="dxa"/>
              <w:bottom w:w="30" w:type="dxa"/>
              <w:right w:w="30" w:type="dxa"/>
            </w:tcMar>
            <w:vAlign w:val="center"/>
          </w:tcPr>
          <w:p w14:paraId="0AC338DF"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7.79365822</w:t>
            </w:r>
          </w:p>
        </w:tc>
      </w:tr>
      <w:tr w:rsidR="004C584E" w:rsidRPr="004C584E" w14:paraId="6F8D8610" w14:textId="77777777" w:rsidTr="004C584E">
        <w:trPr>
          <w:cantSplit/>
          <w:tblHeader/>
          <w:jc w:val="center"/>
        </w:trPr>
        <w:tc>
          <w:tcPr>
            <w:tcW w:w="2977" w:type="dxa"/>
            <w:vMerge w:val="restart"/>
            <w:tcBorders>
              <w:top w:val="nil"/>
              <w:bottom w:val="nil"/>
              <w:right w:val="nil"/>
            </w:tcBorders>
            <w:shd w:val="clear" w:color="auto" w:fill="FFFFFF"/>
            <w:tcMar>
              <w:top w:w="30" w:type="dxa"/>
              <w:left w:w="30" w:type="dxa"/>
              <w:bottom w:w="30" w:type="dxa"/>
              <w:right w:w="30" w:type="dxa"/>
            </w:tcMar>
          </w:tcPr>
          <w:p w14:paraId="2CFC61B7"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Most Extreme Differences</w:t>
            </w:r>
          </w:p>
        </w:tc>
        <w:tc>
          <w:tcPr>
            <w:tcW w:w="1559" w:type="dxa"/>
            <w:tcBorders>
              <w:top w:val="nil"/>
              <w:left w:val="nil"/>
              <w:bottom w:val="nil"/>
              <w:right w:val="nil"/>
            </w:tcBorders>
            <w:shd w:val="clear" w:color="auto" w:fill="FFFFFF"/>
            <w:tcMar>
              <w:top w:w="30" w:type="dxa"/>
              <w:left w:w="30" w:type="dxa"/>
              <w:bottom w:w="30" w:type="dxa"/>
              <w:right w:w="30" w:type="dxa"/>
            </w:tcMar>
          </w:tcPr>
          <w:p w14:paraId="693D7B3A"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Absolute</w:t>
            </w:r>
          </w:p>
        </w:tc>
        <w:tc>
          <w:tcPr>
            <w:tcW w:w="3261" w:type="dxa"/>
            <w:tcBorders>
              <w:top w:val="nil"/>
              <w:left w:val="nil"/>
              <w:bottom w:val="nil"/>
            </w:tcBorders>
            <w:shd w:val="clear" w:color="auto" w:fill="FFFFFF"/>
            <w:tcMar>
              <w:top w:w="30" w:type="dxa"/>
              <w:left w:w="30" w:type="dxa"/>
              <w:bottom w:w="30" w:type="dxa"/>
              <w:right w:w="30" w:type="dxa"/>
            </w:tcMar>
            <w:vAlign w:val="center"/>
          </w:tcPr>
          <w:p w14:paraId="76AD406D"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.098</w:t>
            </w:r>
          </w:p>
        </w:tc>
      </w:tr>
      <w:tr w:rsidR="004C584E" w:rsidRPr="004C584E" w14:paraId="03F324AB" w14:textId="77777777" w:rsidTr="004C584E">
        <w:trPr>
          <w:cantSplit/>
          <w:tblHeader/>
          <w:jc w:val="center"/>
        </w:trPr>
        <w:tc>
          <w:tcPr>
            <w:tcW w:w="2977" w:type="dxa"/>
            <w:vMerge/>
            <w:tcBorders>
              <w:top w:val="nil"/>
              <w:bottom w:val="nil"/>
              <w:right w:val="nil"/>
            </w:tcBorders>
            <w:shd w:val="clear" w:color="auto" w:fill="FFFFFF"/>
            <w:tcMar>
              <w:top w:w="30" w:type="dxa"/>
              <w:left w:w="30" w:type="dxa"/>
              <w:bottom w:w="30" w:type="dxa"/>
              <w:right w:w="30" w:type="dxa"/>
            </w:tcMar>
          </w:tcPr>
          <w:p w14:paraId="235D0661" w14:textId="77777777" w:rsidR="004C584E" w:rsidRPr="004C584E" w:rsidRDefault="004C584E" w:rsidP="004C584E">
            <w:pPr>
              <w:autoSpaceDE w:val="0"/>
              <w:autoSpaceDN w:val="0"/>
              <w:adjustRightInd w:val="0"/>
              <w:jc w:val="both"/>
              <w:rPr>
                <w:color w:val="000000"/>
                <w:sz w:val="16"/>
                <w:szCs w:val="16"/>
              </w:rPr>
            </w:pPr>
          </w:p>
        </w:tc>
        <w:tc>
          <w:tcPr>
            <w:tcW w:w="1559" w:type="dxa"/>
            <w:tcBorders>
              <w:top w:val="nil"/>
              <w:left w:val="nil"/>
              <w:bottom w:val="nil"/>
              <w:right w:val="nil"/>
            </w:tcBorders>
            <w:shd w:val="clear" w:color="auto" w:fill="FFFFFF"/>
            <w:tcMar>
              <w:top w:w="30" w:type="dxa"/>
              <w:left w:w="30" w:type="dxa"/>
              <w:bottom w:w="30" w:type="dxa"/>
              <w:right w:w="30" w:type="dxa"/>
            </w:tcMar>
          </w:tcPr>
          <w:p w14:paraId="42CA86BD"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Positive</w:t>
            </w:r>
          </w:p>
        </w:tc>
        <w:tc>
          <w:tcPr>
            <w:tcW w:w="3261" w:type="dxa"/>
            <w:tcBorders>
              <w:top w:val="nil"/>
              <w:left w:val="nil"/>
              <w:bottom w:val="nil"/>
            </w:tcBorders>
            <w:shd w:val="clear" w:color="auto" w:fill="FFFFFF"/>
            <w:tcMar>
              <w:top w:w="30" w:type="dxa"/>
              <w:left w:w="30" w:type="dxa"/>
              <w:bottom w:w="30" w:type="dxa"/>
              <w:right w:w="30" w:type="dxa"/>
            </w:tcMar>
            <w:vAlign w:val="center"/>
          </w:tcPr>
          <w:p w14:paraId="6E9FCFC8"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.071</w:t>
            </w:r>
          </w:p>
        </w:tc>
      </w:tr>
      <w:tr w:rsidR="004C584E" w:rsidRPr="004C584E" w14:paraId="40FC2E16" w14:textId="77777777" w:rsidTr="004C584E">
        <w:trPr>
          <w:cantSplit/>
          <w:tblHeader/>
          <w:jc w:val="center"/>
        </w:trPr>
        <w:tc>
          <w:tcPr>
            <w:tcW w:w="2977" w:type="dxa"/>
            <w:vMerge/>
            <w:tcBorders>
              <w:top w:val="nil"/>
              <w:bottom w:val="nil"/>
              <w:right w:val="nil"/>
            </w:tcBorders>
            <w:shd w:val="clear" w:color="auto" w:fill="FFFFFF"/>
            <w:tcMar>
              <w:top w:w="30" w:type="dxa"/>
              <w:left w:w="30" w:type="dxa"/>
              <w:bottom w:w="30" w:type="dxa"/>
              <w:right w:w="30" w:type="dxa"/>
            </w:tcMar>
          </w:tcPr>
          <w:p w14:paraId="21D27516" w14:textId="77777777" w:rsidR="004C584E" w:rsidRPr="004C584E" w:rsidRDefault="004C584E" w:rsidP="004C584E">
            <w:pPr>
              <w:autoSpaceDE w:val="0"/>
              <w:autoSpaceDN w:val="0"/>
              <w:adjustRightInd w:val="0"/>
              <w:jc w:val="both"/>
              <w:rPr>
                <w:color w:val="000000"/>
                <w:sz w:val="16"/>
                <w:szCs w:val="16"/>
              </w:rPr>
            </w:pPr>
          </w:p>
        </w:tc>
        <w:tc>
          <w:tcPr>
            <w:tcW w:w="1559" w:type="dxa"/>
            <w:tcBorders>
              <w:top w:val="nil"/>
              <w:left w:val="nil"/>
              <w:bottom w:val="nil"/>
              <w:right w:val="nil"/>
            </w:tcBorders>
            <w:shd w:val="clear" w:color="auto" w:fill="FFFFFF"/>
            <w:tcMar>
              <w:top w:w="30" w:type="dxa"/>
              <w:left w:w="30" w:type="dxa"/>
              <w:bottom w:w="30" w:type="dxa"/>
              <w:right w:w="30" w:type="dxa"/>
            </w:tcMar>
          </w:tcPr>
          <w:p w14:paraId="21E292FA"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Negative</w:t>
            </w:r>
          </w:p>
        </w:tc>
        <w:tc>
          <w:tcPr>
            <w:tcW w:w="3261" w:type="dxa"/>
            <w:tcBorders>
              <w:top w:val="nil"/>
              <w:left w:val="nil"/>
              <w:bottom w:val="nil"/>
            </w:tcBorders>
            <w:shd w:val="clear" w:color="auto" w:fill="FFFFFF"/>
            <w:tcMar>
              <w:top w:w="30" w:type="dxa"/>
              <w:left w:w="30" w:type="dxa"/>
              <w:bottom w:w="30" w:type="dxa"/>
              <w:right w:w="30" w:type="dxa"/>
            </w:tcMar>
            <w:vAlign w:val="center"/>
          </w:tcPr>
          <w:p w14:paraId="0C2D4D53"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-.098</w:t>
            </w:r>
          </w:p>
        </w:tc>
      </w:tr>
      <w:tr w:rsidR="004C584E" w:rsidRPr="004C584E" w14:paraId="369F91FD" w14:textId="77777777" w:rsidTr="004C584E">
        <w:trPr>
          <w:cantSplit/>
          <w:tblHeader/>
          <w:jc w:val="center"/>
        </w:trPr>
        <w:tc>
          <w:tcPr>
            <w:tcW w:w="4536" w:type="dxa"/>
            <w:gridSpan w:val="2"/>
            <w:tcBorders>
              <w:top w:val="nil"/>
              <w:bottom w:val="nil"/>
              <w:right w:val="nil"/>
            </w:tcBorders>
            <w:shd w:val="clear" w:color="auto" w:fill="FFFFFF"/>
            <w:tcMar>
              <w:top w:w="30" w:type="dxa"/>
              <w:left w:w="30" w:type="dxa"/>
              <w:bottom w:w="30" w:type="dxa"/>
              <w:right w:w="30" w:type="dxa"/>
            </w:tcMar>
          </w:tcPr>
          <w:p w14:paraId="2580E007"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Kolmogorov-Smirnov Z</w:t>
            </w:r>
          </w:p>
        </w:tc>
        <w:tc>
          <w:tcPr>
            <w:tcW w:w="3261" w:type="dxa"/>
            <w:tcBorders>
              <w:top w:val="nil"/>
              <w:left w:val="nil"/>
              <w:bottom w:val="nil"/>
            </w:tcBorders>
            <w:shd w:val="clear" w:color="auto" w:fill="FFFFFF"/>
            <w:tcMar>
              <w:top w:w="30" w:type="dxa"/>
              <w:left w:w="30" w:type="dxa"/>
              <w:bottom w:w="30" w:type="dxa"/>
              <w:right w:w="30" w:type="dxa"/>
            </w:tcMar>
            <w:vAlign w:val="center"/>
          </w:tcPr>
          <w:p w14:paraId="5C1F44CF"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.742</w:t>
            </w:r>
          </w:p>
        </w:tc>
      </w:tr>
      <w:tr w:rsidR="004C584E" w:rsidRPr="004C584E" w14:paraId="0D3C87F6" w14:textId="77777777" w:rsidTr="004C584E">
        <w:trPr>
          <w:cantSplit/>
          <w:tblHeader/>
          <w:jc w:val="center"/>
        </w:trPr>
        <w:tc>
          <w:tcPr>
            <w:tcW w:w="4536" w:type="dxa"/>
            <w:gridSpan w:val="2"/>
            <w:tcBorders>
              <w:top w:val="nil"/>
              <w:right w:val="nil"/>
            </w:tcBorders>
            <w:shd w:val="clear" w:color="auto" w:fill="FFFFFF"/>
            <w:tcMar>
              <w:top w:w="30" w:type="dxa"/>
              <w:left w:w="30" w:type="dxa"/>
              <w:bottom w:w="30" w:type="dxa"/>
              <w:right w:w="30" w:type="dxa"/>
            </w:tcMar>
          </w:tcPr>
          <w:p w14:paraId="22B07A1E" w14:textId="77777777" w:rsidR="004C584E" w:rsidRPr="004C584E" w:rsidRDefault="004C584E" w:rsidP="004C584E">
            <w:pPr>
              <w:autoSpaceDE w:val="0"/>
              <w:autoSpaceDN w:val="0"/>
              <w:adjustRightInd w:val="0"/>
              <w:jc w:val="both"/>
              <w:rPr>
                <w:color w:val="000000"/>
                <w:sz w:val="16"/>
                <w:szCs w:val="16"/>
              </w:rPr>
            </w:pPr>
            <w:proofErr w:type="spellStart"/>
            <w:r w:rsidRPr="004C584E">
              <w:rPr>
                <w:color w:val="000000"/>
                <w:sz w:val="16"/>
                <w:szCs w:val="16"/>
              </w:rPr>
              <w:t>Asymp</w:t>
            </w:r>
            <w:proofErr w:type="spellEnd"/>
            <w:r w:rsidRPr="004C584E">
              <w:rPr>
                <w:color w:val="000000"/>
                <w:sz w:val="16"/>
                <w:szCs w:val="16"/>
              </w:rPr>
              <w:t>. Sig. (2-tailed)</w:t>
            </w:r>
          </w:p>
        </w:tc>
        <w:tc>
          <w:tcPr>
            <w:tcW w:w="3261" w:type="dxa"/>
            <w:tcBorders>
              <w:top w:val="nil"/>
              <w:left w:val="nil"/>
            </w:tcBorders>
            <w:shd w:val="clear" w:color="auto" w:fill="FFFFFF"/>
            <w:tcMar>
              <w:top w:w="30" w:type="dxa"/>
              <w:left w:w="30" w:type="dxa"/>
              <w:bottom w:w="30" w:type="dxa"/>
              <w:right w:w="30" w:type="dxa"/>
            </w:tcMar>
            <w:vAlign w:val="center"/>
          </w:tcPr>
          <w:p w14:paraId="67499741"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.641</w:t>
            </w:r>
          </w:p>
        </w:tc>
      </w:tr>
      <w:tr w:rsidR="004C584E" w:rsidRPr="004C584E" w14:paraId="2446C493" w14:textId="77777777" w:rsidTr="004C584E">
        <w:trPr>
          <w:cantSplit/>
          <w:jc w:val="center"/>
        </w:trPr>
        <w:tc>
          <w:tcPr>
            <w:tcW w:w="7797" w:type="dxa"/>
            <w:gridSpan w:val="3"/>
            <w:shd w:val="clear" w:color="auto" w:fill="FFFFFF"/>
            <w:tcMar>
              <w:top w:w="30" w:type="dxa"/>
              <w:left w:w="30" w:type="dxa"/>
              <w:bottom w:w="30" w:type="dxa"/>
              <w:right w:w="30" w:type="dxa"/>
            </w:tcMar>
          </w:tcPr>
          <w:p w14:paraId="663898B2" w14:textId="77777777" w:rsidR="004C584E" w:rsidRPr="004C584E" w:rsidRDefault="004C584E" w:rsidP="004C584E">
            <w:pPr>
              <w:autoSpaceDE w:val="0"/>
              <w:autoSpaceDN w:val="0"/>
              <w:adjustRightInd w:val="0"/>
              <w:jc w:val="both"/>
              <w:rPr>
                <w:color w:val="000000"/>
                <w:sz w:val="16"/>
                <w:szCs w:val="16"/>
              </w:rPr>
            </w:pPr>
            <w:r w:rsidRPr="004C584E">
              <w:rPr>
                <w:color w:val="000000"/>
                <w:sz w:val="16"/>
                <w:szCs w:val="16"/>
              </w:rPr>
              <w:t>a. Test distribution is Normal.</w:t>
            </w:r>
          </w:p>
        </w:tc>
      </w:tr>
    </w:tbl>
    <w:p w14:paraId="49F0020F" w14:textId="77777777" w:rsidR="004C584E" w:rsidRPr="004C584E" w:rsidRDefault="004C584E" w:rsidP="004C584E">
      <w:pPr>
        <w:spacing w:line="360" w:lineRule="auto"/>
        <w:jc w:val="both"/>
        <w:rPr>
          <w:b/>
        </w:rPr>
      </w:pPr>
    </w:p>
    <w:p w14:paraId="178BDE4E" w14:textId="77777777" w:rsidR="004C584E" w:rsidRPr="004C584E" w:rsidRDefault="004C584E" w:rsidP="004C584E">
      <w:pPr>
        <w:pStyle w:val="ListParagraph"/>
        <w:spacing w:after="0" w:line="240" w:lineRule="auto"/>
        <w:ind w:left="0" w:firstLine="720"/>
        <w:jc w:val="both"/>
        <w:rPr>
          <w:rFonts w:ascii="Times New Roman" w:hAnsi="Times New Roman"/>
          <w:sz w:val="20"/>
          <w:szCs w:val="20"/>
        </w:rPr>
      </w:pPr>
      <w:bookmarkStart w:id="2" w:name="_Hlk99860774"/>
      <w:r w:rsidRPr="004C584E">
        <w:rPr>
          <w:rFonts w:ascii="Times New Roman" w:hAnsi="Times New Roman"/>
          <w:sz w:val="20"/>
          <w:szCs w:val="20"/>
          <w:lang w:val="id-ID"/>
        </w:rPr>
        <w:t xml:space="preserve">The data </w:t>
      </w:r>
      <w:r w:rsidRPr="004C584E">
        <w:rPr>
          <w:rFonts w:ascii="Times New Roman" w:hAnsi="Times New Roman"/>
          <w:sz w:val="20"/>
          <w:szCs w:val="20"/>
        </w:rPr>
        <w:t xml:space="preserve">homogeneity test </w:t>
      </w:r>
      <w:r w:rsidRPr="004C584E">
        <w:rPr>
          <w:rFonts w:ascii="Times New Roman" w:hAnsi="Times New Roman"/>
          <w:sz w:val="20"/>
          <w:szCs w:val="20"/>
          <w:lang w:val="id-ID"/>
        </w:rPr>
        <w:t xml:space="preserve">was analyzed </w:t>
      </w:r>
      <w:r w:rsidRPr="004C584E">
        <w:rPr>
          <w:rFonts w:ascii="Times New Roman" w:hAnsi="Times New Roman"/>
          <w:sz w:val="20"/>
          <w:szCs w:val="20"/>
        </w:rPr>
        <w:t xml:space="preserve">using </w:t>
      </w:r>
      <w:proofErr w:type="spellStart"/>
      <w:r w:rsidRPr="004C584E">
        <w:rPr>
          <w:rFonts w:ascii="Times New Roman" w:hAnsi="Times New Roman"/>
          <w:i/>
          <w:sz w:val="20"/>
          <w:szCs w:val="20"/>
        </w:rPr>
        <w:t>Levene's</w:t>
      </w:r>
      <w:proofErr w:type="spellEnd"/>
      <w:r w:rsidRPr="004C584E">
        <w:rPr>
          <w:rFonts w:ascii="Times New Roman" w:hAnsi="Times New Roman"/>
          <w:i/>
          <w:sz w:val="20"/>
          <w:szCs w:val="20"/>
        </w:rPr>
        <w:t xml:space="preserve"> Test of Equality of Error Variances </w:t>
      </w:r>
      <w:r w:rsidRPr="004C584E">
        <w:rPr>
          <w:rFonts w:ascii="Times New Roman" w:hAnsi="Times New Roman"/>
          <w:sz w:val="20"/>
          <w:szCs w:val="20"/>
        </w:rPr>
        <w:t xml:space="preserve">statistical test using One-Way ANOVA </w:t>
      </w:r>
      <w:r w:rsidRPr="004C584E">
        <w:rPr>
          <w:rFonts w:ascii="Times New Roman" w:hAnsi="Times New Roman"/>
          <w:sz w:val="20"/>
          <w:szCs w:val="20"/>
          <w:lang w:val="id-ID"/>
        </w:rPr>
        <w:t xml:space="preserve">with the </w:t>
      </w:r>
      <w:r w:rsidRPr="004C584E">
        <w:rPr>
          <w:rFonts w:ascii="Times New Roman" w:hAnsi="Times New Roman"/>
          <w:sz w:val="20"/>
          <w:szCs w:val="20"/>
        </w:rPr>
        <w:t xml:space="preserve">assistance </w:t>
      </w:r>
      <w:r w:rsidRPr="004C584E">
        <w:rPr>
          <w:rFonts w:ascii="Times New Roman" w:hAnsi="Times New Roman"/>
          <w:sz w:val="20"/>
          <w:szCs w:val="20"/>
          <w:lang w:val="id-ID"/>
        </w:rPr>
        <w:t xml:space="preserve">of SPSS 16.00 </w:t>
      </w:r>
      <w:r w:rsidRPr="004C584E">
        <w:rPr>
          <w:rFonts w:ascii="Times New Roman" w:hAnsi="Times New Roman"/>
          <w:i/>
          <w:sz w:val="20"/>
          <w:szCs w:val="20"/>
          <w:lang w:val="id-ID"/>
        </w:rPr>
        <w:t>for Windows</w:t>
      </w:r>
      <w:r w:rsidRPr="004C584E">
        <w:rPr>
          <w:rFonts w:ascii="Times New Roman" w:hAnsi="Times New Roman"/>
          <w:sz w:val="20"/>
          <w:szCs w:val="20"/>
          <w:lang w:val="id-ID"/>
        </w:rPr>
        <w:t>.</w:t>
      </w:r>
      <w:bookmarkEnd w:id="2"/>
      <w:r w:rsidRPr="004C584E">
        <w:rPr>
          <w:rFonts w:ascii="Times New Roman" w:hAnsi="Times New Roman"/>
          <w:sz w:val="20"/>
          <w:szCs w:val="20"/>
          <w:lang w:val="id-ID"/>
        </w:rPr>
        <w:t xml:space="preserve"> Pretest and posttest data on metacognitive awareness variables </w:t>
      </w:r>
      <w:r w:rsidRPr="004C584E">
        <w:rPr>
          <w:rFonts w:ascii="Times New Roman" w:hAnsi="Times New Roman"/>
          <w:sz w:val="20"/>
          <w:szCs w:val="20"/>
        </w:rPr>
        <w:t>can be seen in Table 3.</w:t>
      </w:r>
    </w:p>
    <w:p w14:paraId="6BDC1C8B" w14:textId="77777777" w:rsidR="004C584E" w:rsidRPr="004C584E" w:rsidRDefault="004C584E" w:rsidP="004C584E">
      <w:pPr>
        <w:pStyle w:val="ListParagraph"/>
        <w:spacing w:after="0" w:line="240" w:lineRule="auto"/>
        <w:ind w:left="0"/>
        <w:jc w:val="both"/>
        <w:rPr>
          <w:rFonts w:ascii="Times New Roman" w:hAnsi="Times New Roman"/>
          <w:b/>
          <w:sz w:val="20"/>
          <w:szCs w:val="20"/>
        </w:rPr>
      </w:pPr>
    </w:p>
    <w:p w14:paraId="763FE1E6" w14:textId="57902B87" w:rsidR="004C584E" w:rsidRPr="004C584E" w:rsidRDefault="004C584E" w:rsidP="004C584E">
      <w:pPr>
        <w:pStyle w:val="ListParagraph"/>
        <w:spacing w:after="0" w:line="240" w:lineRule="auto"/>
        <w:ind w:firstLine="273"/>
        <w:jc w:val="center"/>
        <w:rPr>
          <w:rFonts w:ascii="Times New Roman" w:hAnsi="Times New Roman"/>
          <w:b/>
          <w:sz w:val="20"/>
          <w:szCs w:val="20"/>
        </w:rPr>
      </w:pPr>
      <w:r w:rsidRPr="004C584E">
        <w:rPr>
          <w:rFonts w:ascii="Times New Roman" w:hAnsi="Times New Roman"/>
          <w:sz w:val="20"/>
          <w:szCs w:val="20"/>
          <w:lang w:val="id-ID"/>
        </w:rPr>
        <w:t xml:space="preserve">Table </w:t>
      </w:r>
      <w:r w:rsidRPr="004C584E">
        <w:rPr>
          <w:rFonts w:ascii="Times New Roman" w:hAnsi="Times New Roman"/>
          <w:sz w:val="20"/>
          <w:szCs w:val="20"/>
        </w:rPr>
        <w:t>3.</w:t>
      </w:r>
      <w:r w:rsidRPr="004C584E">
        <w:rPr>
          <w:rFonts w:ascii="Times New Roman" w:hAnsi="Times New Roman"/>
          <w:sz w:val="20"/>
          <w:szCs w:val="20"/>
          <w:lang w:val="id-ID"/>
        </w:rPr>
        <w:t xml:space="preserve"> </w:t>
      </w:r>
      <w:r w:rsidRPr="004C584E">
        <w:rPr>
          <w:rFonts w:ascii="Times New Roman" w:hAnsi="Times New Roman"/>
          <w:sz w:val="20"/>
          <w:szCs w:val="20"/>
        </w:rPr>
        <w:t xml:space="preserve">The </w:t>
      </w:r>
      <w:r w:rsidRPr="004C584E">
        <w:rPr>
          <w:rFonts w:ascii="Times New Roman" w:hAnsi="Times New Roman"/>
          <w:sz w:val="20"/>
          <w:szCs w:val="20"/>
          <w:lang w:val="id-ID"/>
        </w:rPr>
        <w:t>Homogeneity</w:t>
      </w:r>
      <w:r w:rsidRPr="004C584E">
        <w:rPr>
          <w:rFonts w:ascii="Times New Roman" w:hAnsi="Times New Roman"/>
          <w:sz w:val="20"/>
          <w:szCs w:val="20"/>
        </w:rPr>
        <w:t xml:space="preserve"> Test Results of </w:t>
      </w:r>
      <w:r w:rsidRPr="004C584E">
        <w:rPr>
          <w:rFonts w:ascii="Times New Roman" w:hAnsi="Times New Roman"/>
          <w:sz w:val="20"/>
          <w:szCs w:val="20"/>
          <w:lang w:val="id-ID"/>
        </w:rPr>
        <w:t>Metacognitive Awareness</w:t>
      </w:r>
      <w:r w:rsidRPr="004C584E">
        <w:rPr>
          <w:rFonts w:ascii="Times New Roman" w:hAnsi="Times New Roman"/>
          <w:sz w:val="20"/>
          <w:szCs w:val="20"/>
        </w:rPr>
        <w:t xml:space="preserve"> </w:t>
      </w:r>
      <w:r w:rsidRPr="004C584E">
        <w:rPr>
          <w:rFonts w:ascii="Times New Roman" w:hAnsi="Times New Roman"/>
          <w:sz w:val="20"/>
          <w:szCs w:val="20"/>
          <w:lang w:val="id-ID"/>
        </w:rPr>
        <w:t>Data</w:t>
      </w:r>
    </w:p>
    <w:tbl>
      <w:tblPr>
        <w:tblStyle w:val="TableGrid"/>
        <w:tblW w:w="0" w:type="auto"/>
        <w:jc w:val="center"/>
        <w:tblInd w:w="250" w:type="dxa"/>
        <w:tblLook w:val="04A0" w:firstRow="1" w:lastRow="0" w:firstColumn="1" w:lastColumn="0" w:noHBand="0" w:noVBand="1"/>
      </w:tblPr>
      <w:tblGrid>
        <w:gridCol w:w="4182"/>
        <w:gridCol w:w="1191"/>
        <w:gridCol w:w="1065"/>
        <w:gridCol w:w="1358"/>
      </w:tblGrid>
      <w:tr w:rsidR="004C584E" w:rsidRPr="004C584E" w14:paraId="0AE8F461" w14:textId="77777777" w:rsidTr="004C584E">
        <w:trPr>
          <w:jc w:val="center"/>
        </w:trPr>
        <w:tc>
          <w:tcPr>
            <w:tcW w:w="4182" w:type="dxa"/>
            <w:tcBorders>
              <w:left w:val="nil"/>
              <w:right w:val="nil"/>
            </w:tcBorders>
          </w:tcPr>
          <w:p w14:paraId="0BCA39DB"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Data Group</w:t>
            </w:r>
          </w:p>
        </w:tc>
        <w:tc>
          <w:tcPr>
            <w:tcW w:w="1191" w:type="dxa"/>
            <w:tcBorders>
              <w:left w:val="nil"/>
              <w:right w:val="nil"/>
            </w:tcBorders>
          </w:tcPr>
          <w:p w14:paraId="681A3F6D"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df1</w:t>
            </w:r>
          </w:p>
        </w:tc>
        <w:tc>
          <w:tcPr>
            <w:tcW w:w="1065" w:type="dxa"/>
            <w:tcBorders>
              <w:left w:val="nil"/>
              <w:right w:val="nil"/>
            </w:tcBorders>
          </w:tcPr>
          <w:p w14:paraId="520033A1"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df2</w:t>
            </w:r>
          </w:p>
        </w:tc>
        <w:tc>
          <w:tcPr>
            <w:tcW w:w="1358" w:type="dxa"/>
            <w:tcBorders>
              <w:left w:val="nil"/>
              <w:right w:val="nil"/>
            </w:tcBorders>
          </w:tcPr>
          <w:p w14:paraId="6CC98B11"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Sig</w:t>
            </w:r>
          </w:p>
        </w:tc>
      </w:tr>
      <w:tr w:rsidR="004C584E" w:rsidRPr="004C584E" w14:paraId="25C27D88" w14:textId="77777777" w:rsidTr="004C584E">
        <w:trPr>
          <w:jc w:val="center"/>
        </w:trPr>
        <w:tc>
          <w:tcPr>
            <w:tcW w:w="4182" w:type="dxa"/>
            <w:tcBorders>
              <w:left w:val="nil"/>
              <w:bottom w:val="nil"/>
              <w:right w:val="nil"/>
            </w:tcBorders>
          </w:tcPr>
          <w:p w14:paraId="25F3E19D"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Metacognitive Awareness Pretest</w:t>
            </w:r>
          </w:p>
        </w:tc>
        <w:tc>
          <w:tcPr>
            <w:tcW w:w="1191" w:type="dxa"/>
            <w:vMerge w:val="restart"/>
            <w:tcBorders>
              <w:left w:val="nil"/>
              <w:bottom w:val="nil"/>
              <w:right w:val="nil"/>
            </w:tcBorders>
            <w:vAlign w:val="center"/>
          </w:tcPr>
          <w:p w14:paraId="18231C9A"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1</w:t>
            </w:r>
          </w:p>
        </w:tc>
        <w:tc>
          <w:tcPr>
            <w:tcW w:w="1065" w:type="dxa"/>
            <w:vMerge w:val="restart"/>
            <w:tcBorders>
              <w:left w:val="nil"/>
              <w:bottom w:val="nil"/>
              <w:right w:val="nil"/>
            </w:tcBorders>
            <w:vAlign w:val="center"/>
          </w:tcPr>
          <w:p w14:paraId="160D0E40"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55</w:t>
            </w:r>
          </w:p>
        </w:tc>
        <w:tc>
          <w:tcPr>
            <w:tcW w:w="1358" w:type="dxa"/>
            <w:tcBorders>
              <w:left w:val="nil"/>
              <w:bottom w:val="nil"/>
              <w:right w:val="nil"/>
            </w:tcBorders>
          </w:tcPr>
          <w:p w14:paraId="0DE8599C"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0.369</w:t>
            </w:r>
          </w:p>
        </w:tc>
      </w:tr>
      <w:tr w:rsidR="004C584E" w:rsidRPr="004C584E" w14:paraId="220A4BBD" w14:textId="77777777" w:rsidTr="004C584E">
        <w:trPr>
          <w:jc w:val="center"/>
        </w:trPr>
        <w:tc>
          <w:tcPr>
            <w:tcW w:w="4182" w:type="dxa"/>
            <w:tcBorders>
              <w:top w:val="nil"/>
              <w:left w:val="nil"/>
              <w:bottom w:val="single" w:sz="4" w:space="0" w:color="auto"/>
              <w:right w:val="nil"/>
            </w:tcBorders>
          </w:tcPr>
          <w:p w14:paraId="3156854D"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Metacognitive Awareness Posttest</w:t>
            </w:r>
          </w:p>
        </w:tc>
        <w:tc>
          <w:tcPr>
            <w:tcW w:w="1191" w:type="dxa"/>
            <w:vMerge/>
            <w:tcBorders>
              <w:top w:val="nil"/>
              <w:left w:val="nil"/>
              <w:bottom w:val="single" w:sz="4" w:space="0" w:color="auto"/>
              <w:right w:val="nil"/>
            </w:tcBorders>
          </w:tcPr>
          <w:p w14:paraId="5F44ABF8"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p>
        </w:tc>
        <w:tc>
          <w:tcPr>
            <w:tcW w:w="1065" w:type="dxa"/>
            <w:vMerge/>
            <w:tcBorders>
              <w:top w:val="nil"/>
              <w:left w:val="nil"/>
              <w:bottom w:val="single" w:sz="4" w:space="0" w:color="auto"/>
              <w:right w:val="nil"/>
            </w:tcBorders>
          </w:tcPr>
          <w:p w14:paraId="6886307E"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p>
        </w:tc>
        <w:tc>
          <w:tcPr>
            <w:tcW w:w="1358" w:type="dxa"/>
            <w:tcBorders>
              <w:top w:val="nil"/>
              <w:left w:val="nil"/>
              <w:right w:val="nil"/>
            </w:tcBorders>
          </w:tcPr>
          <w:p w14:paraId="7EFF4516" w14:textId="77777777" w:rsidR="004C584E" w:rsidRPr="004C584E" w:rsidRDefault="004C584E" w:rsidP="004C584E">
            <w:pPr>
              <w:pStyle w:val="ListParagraph"/>
              <w:spacing w:after="0" w:line="240" w:lineRule="auto"/>
              <w:ind w:left="0"/>
              <w:jc w:val="both"/>
              <w:rPr>
                <w:rFonts w:ascii="Times New Roman" w:hAnsi="Times New Roman"/>
                <w:sz w:val="16"/>
                <w:szCs w:val="16"/>
                <w:lang w:val="id-ID"/>
              </w:rPr>
            </w:pPr>
            <w:r w:rsidRPr="004C584E">
              <w:rPr>
                <w:rFonts w:ascii="Times New Roman" w:hAnsi="Times New Roman"/>
                <w:sz w:val="16"/>
                <w:szCs w:val="16"/>
                <w:lang w:val="id-ID"/>
              </w:rPr>
              <w:t>0.236</w:t>
            </w:r>
          </w:p>
        </w:tc>
      </w:tr>
    </w:tbl>
    <w:p w14:paraId="7ECC45CF" w14:textId="77777777" w:rsidR="004C584E" w:rsidRDefault="004C584E" w:rsidP="004C584E">
      <w:pPr>
        <w:pStyle w:val="ListParagraph"/>
        <w:spacing w:after="0" w:line="240" w:lineRule="auto"/>
        <w:ind w:left="0" w:firstLine="709"/>
        <w:jc w:val="both"/>
        <w:rPr>
          <w:rFonts w:ascii="Times New Roman" w:hAnsi="Times New Roman"/>
          <w:sz w:val="20"/>
          <w:szCs w:val="20"/>
          <w:lang w:val="en-US"/>
        </w:rPr>
      </w:pPr>
    </w:p>
    <w:p w14:paraId="000856F9" w14:textId="77777777" w:rsidR="004C584E" w:rsidRPr="004C584E" w:rsidRDefault="004C584E" w:rsidP="004C584E">
      <w:pPr>
        <w:pStyle w:val="ListParagraph"/>
        <w:spacing w:after="0" w:line="240" w:lineRule="auto"/>
        <w:ind w:left="0" w:firstLine="709"/>
        <w:jc w:val="both"/>
        <w:rPr>
          <w:rFonts w:ascii="Times New Roman" w:hAnsi="Times New Roman"/>
          <w:sz w:val="20"/>
          <w:szCs w:val="20"/>
        </w:rPr>
      </w:pPr>
      <w:r w:rsidRPr="004C584E">
        <w:rPr>
          <w:rFonts w:ascii="Times New Roman" w:hAnsi="Times New Roman"/>
          <w:sz w:val="20"/>
          <w:szCs w:val="20"/>
          <w:lang w:val="id-ID"/>
        </w:rPr>
        <w:t xml:space="preserve">Table </w:t>
      </w:r>
      <w:r w:rsidRPr="004C584E">
        <w:rPr>
          <w:rFonts w:ascii="Times New Roman" w:hAnsi="Times New Roman"/>
          <w:sz w:val="20"/>
          <w:szCs w:val="20"/>
        </w:rPr>
        <w:t>3</w:t>
      </w:r>
      <w:bookmarkStart w:id="3" w:name="_Hlk99860837"/>
      <w:r w:rsidRPr="004C584E">
        <w:rPr>
          <w:rFonts w:ascii="Times New Roman" w:hAnsi="Times New Roman"/>
          <w:sz w:val="20"/>
          <w:szCs w:val="20"/>
          <w:lang w:val="id-ID"/>
        </w:rPr>
        <w:t xml:space="preserve"> shows that all data, pretests, and posttests on metacognitive awareness variables are greater than alpha (0.05), meaning all data are declared homogeneous. Based on all the results of the prerequisite analysis test, it is known that the research data meet the requirements for hypothesis testing with parametric analysis using analysis of covariance (ANCOVA)</w:t>
      </w:r>
      <w:bookmarkEnd w:id="3"/>
      <w:r w:rsidRPr="004C584E">
        <w:rPr>
          <w:rFonts w:ascii="Times New Roman" w:hAnsi="Times New Roman"/>
          <w:sz w:val="20"/>
          <w:szCs w:val="20"/>
        </w:rPr>
        <w:t>.</w:t>
      </w:r>
    </w:p>
    <w:p w14:paraId="5AFD429B" w14:textId="77777777" w:rsidR="004C584E" w:rsidRPr="004C584E" w:rsidRDefault="004C584E" w:rsidP="004C584E">
      <w:pPr>
        <w:pStyle w:val="ListParagraph"/>
        <w:spacing w:after="0" w:line="240" w:lineRule="auto"/>
        <w:ind w:left="0" w:firstLine="720"/>
        <w:jc w:val="both"/>
        <w:rPr>
          <w:rFonts w:ascii="Times New Roman" w:hAnsi="Times New Roman"/>
          <w:sz w:val="20"/>
          <w:szCs w:val="20"/>
        </w:rPr>
      </w:pPr>
      <w:r w:rsidRPr="004C584E">
        <w:rPr>
          <w:rFonts w:ascii="Times New Roman" w:hAnsi="Times New Roman"/>
          <w:sz w:val="20"/>
          <w:szCs w:val="20"/>
          <w:lang w:val="id-ID"/>
        </w:rPr>
        <w:t xml:space="preserve">Hypothesis testing was conducted using covariate analysis (ANCOVA) with the </w:t>
      </w:r>
      <w:r w:rsidRPr="004C584E">
        <w:rPr>
          <w:rFonts w:ascii="Times New Roman" w:hAnsi="Times New Roman"/>
          <w:sz w:val="20"/>
          <w:szCs w:val="20"/>
        </w:rPr>
        <w:t>assistance</w:t>
      </w:r>
      <w:r w:rsidRPr="004C584E">
        <w:rPr>
          <w:rFonts w:ascii="Times New Roman" w:hAnsi="Times New Roman"/>
          <w:sz w:val="20"/>
          <w:szCs w:val="20"/>
          <w:lang w:val="id-ID"/>
        </w:rPr>
        <w:t xml:space="preserve"> of SPSS 16.00 </w:t>
      </w:r>
      <w:r w:rsidRPr="004C584E">
        <w:rPr>
          <w:rFonts w:ascii="Times New Roman" w:hAnsi="Times New Roman"/>
          <w:i/>
          <w:sz w:val="20"/>
          <w:szCs w:val="20"/>
          <w:lang w:val="id-ID"/>
        </w:rPr>
        <w:t>for Windows</w:t>
      </w:r>
      <w:r w:rsidRPr="004C584E">
        <w:rPr>
          <w:rFonts w:ascii="Times New Roman" w:hAnsi="Times New Roman"/>
          <w:sz w:val="20"/>
          <w:szCs w:val="20"/>
          <w:lang w:val="id-ID"/>
        </w:rPr>
        <w:t xml:space="preserve">. The metacognition awareness test using the MAI questionnaire was conducted twice. The first time was done before the </w:t>
      </w:r>
      <w:r w:rsidRPr="004C584E">
        <w:rPr>
          <w:rFonts w:ascii="Times New Roman" w:hAnsi="Times New Roman"/>
          <w:i/>
          <w:sz w:val="20"/>
          <w:szCs w:val="20"/>
          <w:lang w:val="id-ID"/>
        </w:rPr>
        <w:t xml:space="preserve">treatment was </w:t>
      </w:r>
      <w:r w:rsidRPr="004C584E">
        <w:rPr>
          <w:rFonts w:ascii="Times New Roman" w:hAnsi="Times New Roman"/>
          <w:sz w:val="20"/>
          <w:szCs w:val="20"/>
          <w:lang w:val="id-ID"/>
        </w:rPr>
        <w:t xml:space="preserve">given, and the second time was done after the </w:t>
      </w:r>
      <w:r w:rsidRPr="004C584E">
        <w:rPr>
          <w:rFonts w:ascii="Times New Roman" w:hAnsi="Times New Roman"/>
          <w:i/>
          <w:sz w:val="20"/>
          <w:szCs w:val="20"/>
          <w:lang w:val="id-ID"/>
        </w:rPr>
        <w:t xml:space="preserve">treatment </w:t>
      </w:r>
      <w:r w:rsidRPr="004C584E">
        <w:rPr>
          <w:rFonts w:ascii="Times New Roman" w:hAnsi="Times New Roman"/>
          <w:sz w:val="20"/>
          <w:szCs w:val="20"/>
          <w:lang w:val="id-ID"/>
        </w:rPr>
        <w:t>ended, with the period for the MAI pretest and posttest being eight weeks (2 months). A summary of the ANCOVA results of the effect of learning models on metacognitive awareness is shown in Table 4</w:t>
      </w:r>
      <w:r w:rsidRPr="004C584E">
        <w:rPr>
          <w:rFonts w:ascii="Times New Roman" w:hAnsi="Times New Roman"/>
          <w:sz w:val="20"/>
          <w:szCs w:val="20"/>
        </w:rPr>
        <w:t>.</w:t>
      </w:r>
    </w:p>
    <w:p w14:paraId="7D9F1786" w14:textId="77777777" w:rsidR="004C584E" w:rsidRDefault="004C584E" w:rsidP="004C584E">
      <w:pPr>
        <w:ind w:left="993" w:hanging="993"/>
        <w:jc w:val="both"/>
      </w:pPr>
    </w:p>
    <w:p w14:paraId="0DB52652" w14:textId="37AE5CF9" w:rsidR="004C584E" w:rsidRPr="004C584E" w:rsidRDefault="004C584E" w:rsidP="004C584E">
      <w:pPr>
        <w:ind w:left="993" w:hanging="993"/>
        <w:jc w:val="center"/>
      </w:pPr>
      <w:proofErr w:type="gramStart"/>
      <w:r w:rsidRPr="004C584E">
        <w:t>Table 4.</w:t>
      </w:r>
      <w:proofErr w:type="gramEnd"/>
      <w:r w:rsidRPr="004C584E">
        <w:t xml:space="preserve"> ANCOVA test results of the effect of learning model on metacognitive awareness</w:t>
      </w:r>
    </w:p>
    <w:tbl>
      <w:tblPr>
        <w:tblStyle w:val="TableGrid"/>
        <w:tblW w:w="0" w:type="auto"/>
        <w:jc w:val="center"/>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1922"/>
        <w:gridCol w:w="1356"/>
        <w:gridCol w:w="1128"/>
        <w:gridCol w:w="1262"/>
        <w:gridCol w:w="1213"/>
        <w:gridCol w:w="1057"/>
      </w:tblGrid>
      <w:tr w:rsidR="004C584E" w:rsidRPr="004C584E" w14:paraId="01A5F107" w14:textId="77777777" w:rsidTr="004771B6">
        <w:trPr>
          <w:jc w:val="center"/>
        </w:trPr>
        <w:tc>
          <w:tcPr>
            <w:tcW w:w="7938" w:type="dxa"/>
            <w:gridSpan w:val="6"/>
            <w:vAlign w:val="center"/>
          </w:tcPr>
          <w:p w14:paraId="798BC232" w14:textId="77777777" w:rsidR="004C584E" w:rsidRPr="004C584E" w:rsidRDefault="004C584E" w:rsidP="004C584E">
            <w:pPr>
              <w:pStyle w:val="ListParagraph"/>
              <w:spacing w:after="0" w:line="240" w:lineRule="auto"/>
              <w:ind w:left="0"/>
              <w:jc w:val="both"/>
              <w:rPr>
                <w:rFonts w:ascii="Times New Roman" w:hAnsi="Times New Roman"/>
                <w:color w:val="000000"/>
                <w:sz w:val="16"/>
                <w:szCs w:val="16"/>
              </w:rPr>
            </w:pPr>
            <w:r w:rsidRPr="004C584E">
              <w:rPr>
                <w:rFonts w:ascii="Times New Roman" w:hAnsi="Times New Roman"/>
                <w:color w:val="000000"/>
                <w:sz w:val="16"/>
                <w:szCs w:val="16"/>
              </w:rPr>
              <w:t xml:space="preserve">Dependent </w:t>
            </w:r>
            <w:proofErr w:type="spellStart"/>
            <w:r w:rsidRPr="004C584E">
              <w:rPr>
                <w:rFonts w:ascii="Times New Roman" w:hAnsi="Times New Roman"/>
                <w:color w:val="000000"/>
                <w:sz w:val="16"/>
                <w:szCs w:val="16"/>
              </w:rPr>
              <w:t>Variable:MAI_POSTTES</w:t>
            </w:r>
            <w:proofErr w:type="spellEnd"/>
          </w:p>
        </w:tc>
      </w:tr>
      <w:tr w:rsidR="004C584E" w:rsidRPr="004C584E" w14:paraId="2667D444" w14:textId="77777777" w:rsidTr="004771B6">
        <w:trPr>
          <w:jc w:val="center"/>
        </w:trPr>
        <w:tc>
          <w:tcPr>
            <w:tcW w:w="1922" w:type="dxa"/>
            <w:vAlign w:val="center"/>
          </w:tcPr>
          <w:p w14:paraId="561C4C91"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Source</w:t>
            </w:r>
          </w:p>
        </w:tc>
        <w:tc>
          <w:tcPr>
            <w:tcW w:w="1356" w:type="dxa"/>
            <w:vAlign w:val="center"/>
          </w:tcPr>
          <w:p w14:paraId="16B24B45"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Type III Sum of Squares</w:t>
            </w:r>
          </w:p>
        </w:tc>
        <w:tc>
          <w:tcPr>
            <w:tcW w:w="1128" w:type="dxa"/>
            <w:vAlign w:val="center"/>
          </w:tcPr>
          <w:p w14:paraId="50FE46EB" w14:textId="77777777" w:rsidR="004C584E" w:rsidRPr="004C584E" w:rsidRDefault="004C584E" w:rsidP="004C584E">
            <w:pPr>
              <w:pStyle w:val="ListParagraph"/>
              <w:spacing w:after="0" w:line="240" w:lineRule="auto"/>
              <w:ind w:left="0"/>
              <w:jc w:val="both"/>
              <w:rPr>
                <w:rFonts w:ascii="Times New Roman" w:hAnsi="Times New Roman"/>
                <w:sz w:val="16"/>
                <w:szCs w:val="16"/>
              </w:rPr>
            </w:pPr>
            <w:proofErr w:type="spellStart"/>
            <w:r w:rsidRPr="004C584E">
              <w:rPr>
                <w:rFonts w:ascii="Times New Roman" w:hAnsi="Times New Roman"/>
                <w:color w:val="000000"/>
                <w:sz w:val="16"/>
                <w:szCs w:val="16"/>
              </w:rPr>
              <w:t>df</w:t>
            </w:r>
            <w:proofErr w:type="spellEnd"/>
          </w:p>
        </w:tc>
        <w:tc>
          <w:tcPr>
            <w:tcW w:w="1262" w:type="dxa"/>
            <w:vAlign w:val="center"/>
          </w:tcPr>
          <w:p w14:paraId="45F38FB2"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Mean Square</w:t>
            </w:r>
          </w:p>
        </w:tc>
        <w:tc>
          <w:tcPr>
            <w:tcW w:w="1213" w:type="dxa"/>
            <w:vAlign w:val="center"/>
          </w:tcPr>
          <w:p w14:paraId="2BDC6FD7"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F</w:t>
            </w:r>
          </w:p>
        </w:tc>
        <w:tc>
          <w:tcPr>
            <w:tcW w:w="1057" w:type="dxa"/>
            <w:vAlign w:val="center"/>
          </w:tcPr>
          <w:p w14:paraId="42BB4C38"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Sig.</w:t>
            </w:r>
          </w:p>
        </w:tc>
      </w:tr>
      <w:tr w:rsidR="004C584E" w:rsidRPr="004C584E" w14:paraId="01761736" w14:textId="77777777" w:rsidTr="004771B6">
        <w:trPr>
          <w:jc w:val="center"/>
        </w:trPr>
        <w:tc>
          <w:tcPr>
            <w:tcW w:w="1922" w:type="dxa"/>
            <w:tcBorders>
              <w:bottom w:val="nil"/>
            </w:tcBorders>
          </w:tcPr>
          <w:p w14:paraId="7846F8F6"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Corrected Model</w:t>
            </w:r>
          </w:p>
        </w:tc>
        <w:tc>
          <w:tcPr>
            <w:tcW w:w="1356" w:type="dxa"/>
            <w:tcBorders>
              <w:bottom w:val="nil"/>
            </w:tcBorders>
            <w:vAlign w:val="center"/>
          </w:tcPr>
          <w:p w14:paraId="55C9E16A"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 xml:space="preserve">  1681.307</w:t>
            </w:r>
            <w:r w:rsidRPr="004C584E">
              <w:rPr>
                <w:rFonts w:ascii="Times New Roman" w:hAnsi="Times New Roman"/>
                <w:color w:val="000000"/>
                <w:sz w:val="16"/>
                <w:szCs w:val="16"/>
                <w:vertAlign w:val="superscript"/>
              </w:rPr>
              <w:t>a</w:t>
            </w:r>
          </w:p>
        </w:tc>
        <w:tc>
          <w:tcPr>
            <w:tcW w:w="1128" w:type="dxa"/>
            <w:tcBorders>
              <w:bottom w:val="nil"/>
            </w:tcBorders>
            <w:vAlign w:val="center"/>
          </w:tcPr>
          <w:p w14:paraId="3CD97680"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2</w:t>
            </w:r>
          </w:p>
        </w:tc>
        <w:tc>
          <w:tcPr>
            <w:tcW w:w="1262" w:type="dxa"/>
            <w:tcBorders>
              <w:bottom w:val="nil"/>
            </w:tcBorders>
            <w:vAlign w:val="center"/>
          </w:tcPr>
          <w:p w14:paraId="7DA3E1EA"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 xml:space="preserve">  840.653</w:t>
            </w:r>
          </w:p>
        </w:tc>
        <w:tc>
          <w:tcPr>
            <w:tcW w:w="1213" w:type="dxa"/>
            <w:tcBorders>
              <w:bottom w:val="nil"/>
            </w:tcBorders>
            <w:vAlign w:val="center"/>
          </w:tcPr>
          <w:p w14:paraId="131ED0E9"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15.482</w:t>
            </w:r>
          </w:p>
        </w:tc>
        <w:tc>
          <w:tcPr>
            <w:tcW w:w="1057" w:type="dxa"/>
            <w:tcBorders>
              <w:bottom w:val="nil"/>
            </w:tcBorders>
            <w:vAlign w:val="center"/>
          </w:tcPr>
          <w:p w14:paraId="20413AB6"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.000</w:t>
            </w:r>
          </w:p>
        </w:tc>
      </w:tr>
      <w:tr w:rsidR="004C584E" w:rsidRPr="004C584E" w14:paraId="2D45140B" w14:textId="77777777" w:rsidTr="004771B6">
        <w:trPr>
          <w:jc w:val="center"/>
        </w:trPr>
        <w:tc>
          <w:tcPr>
            <w:tcW w:w="1922" w:type="dxa"/>
            <w:tcBorders>
              <w:top w:val="nil"/>
              <w:bottom w:val="nil"/>
            </w:tcBorders>
          </w:tcPr>
          <w:p w14:paraId="2A6523D9"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Intercept</w:t>
            </w:r>
          </w:p>
        </w:tc>
        <w:tc>
          <w:tcPr>
            <w:tcW w:w="1356" w:type="dxa"/>
            <w:tcBorders>
              <w:top w:val="nil"/>
              <w:bottom w:val="nil"/>
            </w:tcBorders>
            <w:vAlign w:val="center"/>
          </w:tcPr>
          <w:p w14:paraId="051CFC47"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 xml:space="preserve">    3461.346</w:t>
            </w:r>
          </w:p>
        </w:tc>
        <w:tc>
          <w:tcPr>
            <w:tcW w:w="1128" w:type="dxa"/>
            <w:tcBorders>
              <w:top w:val="nil"/>
              <w:bottom w:val="nil"/>
            </w:tcBorders>
            <w:vAlign w:val="center"/>
          </w:tcPr>
          <w:p w14:paraId="4406D080"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1</w:t>
            </w:r>
          </w:p>
        </w:tc>
        <w:tc>
          <w:tcPr>
            <w:tcW w:w="1262" w:type="dxa"/>
            <w:tcBorders>
              <w:top w:val="nil"/>
              <w:bottom w:val="nil"/>
            </w:tcBorders>
            <w:vAlign w:val="center"/>
          </w:tcPr>
          <w:p w14:paraId="54799022"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3461.346</w:t>
            </w:r>
          </w:p>
        </w:tc>
        <w:tc>
          <w:tcPr>
            <w:tcW w:w="1213" w:type="dxa"/>
            <w:tcBorders>
              <w:top w:val="nil"/>
              <w:bottom w:val="nil"/>
            </w:tcBorders>
            <w:vAlign w:val="center"/>
          </w:tcPr>
          <w:p w14:paraId="569B517A"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63.745</w:t>
            </w:r>
          </w:p>
        </w:tc>
        <w:tc>
          <w:tcPr>
            <w:tcW w:w="1057" w:type="dxa"/>
            <w:tcBorders>
              <w:top w:val="nil"/>
              <w:bottom w:val="nil"/>
            </w:tcBorders>
            <w:vAlign w:val="center"/>
          </w:tcPr>
          <w:p w14:paraId="1F918918"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.000</w:t>
            </w:r>
          </w:p>
        </w:tc>
      </w:tr>
      <w:tr w:rsidR="004C584E" w:rsidRPr="004C584E" w14:paraId="203CAF96" w14:textId="77777777" w:rsidTr="004771B6">
        <w:trPr>
          <w:jc w:val="center"/>
        </w:trPr>
        <w:tc>
          <w:tcPr>
            <w:tcW w:w="1922" w:type="dxa"/>
            <w:tcBorders>
              <w:top w:val="nil"/>
              <w:bottom w:val="nil"/>
            </w:tcBorders>
          </w:tcPr>
          <w:p w14:paraId="4E1EB7EC"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MAI_PRETES</w:t>
            </w:r>
          </w:p>
        </w:tc>
        <w:tc>
          <w:tcPr>
            <w:tcW w:w="1356" w:type="dxa"/>
            <w:tcBorders>
              <w:top w:val="nil"/>
              <w:bottom w:val="nil"/>
            </w:tcBorders>
            <w:vAlign w:val="center"/>
          </w:tcPr>
          <w:p w14:paraId="0B82AEFB"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 xml:space="preserve">    1413.127</w:t>
            </w:r>
          </w:p>
        </w:tc>
        <w:tc>
          <w:tcPr>
            <w:tcW w:w="1128" w:type="dxa"/>
            <w:tcBorders>
              <w:top w:val="nil"/>
              <w:bottom w:val="nil"/>
            </w:tcBorders>
            <w:vAlign w:val="center"/>
          </w:tcPr>
          <w:p w14:paraId="2F7F8948"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1</w:t>
            </w:r>
          </w:p>
        </w:tc>
        <w:tc>
          <w:tcPr>
            <w:tcW w:w="1262" w:type="dxa"/>
            <w:tcBorders>
              <w:top w:val="nil"/>
              <w:bottom w:val="nil"/>
            </w:tcBorders>
            <w:vAlign w:val="center"/>
          </w:tcPr>
          <w:p w14:paraId="4AC26E8A"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1413.127</w:t>
            </w:r>
          </w:p>
        </w:tc>
        <w:tc>
          <w:tcPr>
            <w:tcW w:w="1213" w:type="dxa"/>
            <w:tcBorders>
              <w:top w:val="nil"/>
              <w:bottom w:val="nil"/>
            </w:tcBorders>
            <w:vAlign w:val="center"/>
          </w:tcPr>
          <w:p w14:paraId="201786BE"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26.024</w:t>
            </w:r>
          </w:p>
        </w:tc>
        <w:tc>
          <w:tcPr>
            <w:tcW w:w="1057" w:type="dxa"/>
            <w:tcBorders>
              <w:top w:val="nil"/>
              <w:bottom w:val="nil"/>
            </w:tcBorders>
            <w:vAlign w:val="center"/>
          </w:tcPr>
          <w:p w14:paraId="4198DBFF"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.000</w:t>
            </w:r>
          </w:p>
        </w:tc>
      </w:tr>
      <w:tr w:rsidR="004C584E" w:rsidRPr="004C584E" w14:paraId="054A39E3" w14:textId="77777777" w:rsidTr="004771B6">
        <w:trPr>
          <w:jc w:val="center"/>
        </w:trPr>
        <w:tc>
          <w:tcPr>
            <w:tcW w:w="1922" w:type="dxa"/>
            <w:tcBorders>
              <w:top w:val="nil"/>
              <w:bottom w:val="nil"/>
            </w:tcBorders>
          </w:tcPr>
          <w:p w14:paraId="5328E130"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MODEL</w:t>
            </w:r>
          </w:p>
        </w:tc>
        <w:tc>
          <w:tcPr>
            <w:tcW w:w="1356" w:type="dxa"/>
            <w:tcBorders>
              <w:top w:val="nil"/>
              <w:bottom w:val="nil"/>
            </w:tcBorders>
            <w:vAlign w:val="center"/>
          </w:tcPr>
          <w:p w14:paraId="6253C427"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 xml:space="preserve">    469.300</w:t>
            </w:r>
          </w:p>
        </w:tc>
        <w:tc>
          <w:tcPr>
            <w:tcW w:w="1128" w:type="dxa"/>
            <w:tcBorders>
              <w:top w:val="nil"/>
              <w:bottom w:val="nil"/>
            </w:tcBorders>
            <w:vAlign w:val="center"/>
          </w:tcPr>
          <w:p w14:paraId="42990494"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1</w:t>
            </w:r>
          </w:p>
        </w:tc>
        <w:tc>
          <w:tcPr>
            <w:tcW w:w="1262" w:type="dxa"/>
            <w:tcBorders>
              <w:top w:val="nil"/>
              <w:bottom w:val="nil"/>
            </w:tcBorders>
            <w:vAlign w:val="center"/>
          </w:tcPr>
          <w:p w14:paraId="035177A3"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469.300</w:t>
            </w:r>
          </w:p>
        </w:tc>
        <w:tc>
          <w:tcPr>
            <w:tcW w:w="1213" w:type="dxa"/>
            <w:tcBorders>
              <w:top w:val="nil"/>
              <w:bottom w:val="nil"/>
            </w:tcBorders>
            <w:vAlign w:val="center"/>
          </w:tcPr>
          <w:p w14:paraId="676761D5"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8.643</w:t>
            </w:r>
          </w:p>
        </w:tc>
        <w:tc>
          <w:tcPr>
            <w:tcW w:w="1057" w:type="dxa"/>
            <w:tcBorders>
              <w:top w:val="nil"/>
              <w:bottom w:val="nil"/>
            </w:tcBorders>
            <w:vAlign w:val="center"/>
          </w:tcPr>
          <w:p w14:paraId="04211C60"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.005</w:t>
            </w:r>
          </w:p>
        </w:tc>
      </w:tr>
      <w:tr w:rsidR="004C584E" w:rsidRPr="004C584E" w14:paraId="2896107B" w14:textId="77777777" w:rsidTr="004771B6">
        <w:trPr>
          <w:jc w:val="center"/>
        </w:trPr>
        <w:tc>
          <w:tcPr>
            <w:tcW w:w="1922" w:type="dxa"/>
            <w:tcBorders>
              <w:top w:val="nil"/>
              <w:bottom w:val="nil"/>
            </w:tcBorders>
          </w:tcPr>
          <w:p w14:paraId="0B9B76FC"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Error</w:t>
            </w:r>
          </w:p>
        </w:tc>
        <w:tc>
          <w:tcPr>
            <w:tcW w:w="1356" w:type="dxa"/>
            <w:tcBorders>
              <w:top w:val="nil"/>
              <w:bottom w:val="nil"/>
            </w:tcBorders>
            <w:vAlign w:val="center"/>
          </w:tcPr>
          <w:p w14:paraId="663059E4"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 xml:space="preserve">    2932.202</w:t>
            </w:r>
          </w:p>
        </w:tc>
        <w:tc>
          <w:tcPr>
            <w:tcW w:w="1128" w:type="dxa"/>
            <w:tcBorders>
              <w:top w:val="nil"/>
              <w:bottom w:val="nil"/>
            </w:tcBorders>
            <w:vAlign w:val="center"/>
          </w:tcPr>
          <w:p w14:paraId="67F57071"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54</w:t>
            </w:r>
          </w:p>
        </w:tc>
        <w:tc>
          <w:tcPr>
            <w:tcW w:w="1262" w:type="dxa"/>
            <w:tcBorders>
              <w:top w:val="nil"/>
              <w:bottom w:val="nil"/>
            </w:tcBorders>
            <w:vAlign w:val="center"/>
          </w:tcPr>
          <w:p w14:paraId="4DE79F7A"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 xml:space="preserve">   54.300</w:t>
            </w:r>
          </w:p>
        </w:tc>
        <w:tc>
          <w:tcPr>
            <w:tcW w:w="1213" w:type="dxa"/>
            <w:tcBorders>
              <w:top w:val="nil"/>
              <w:bottom w:val="nil"/>
            </w:tcBorders>
          </w:tcPr>
          <w:p w14:paraId="49DDF1E6" w14:textId="77777777" w:rsidR="004C584E" w:rsidRPr="004C584E" w:rsidRDefault="004C584E" w:rsidP="004C584E">
            <w:pPr>
              <w:pStyle w:val="ListParagraph"/>
              <w:spacing w:after="0" w:line="240" w:lineRule="auto"/>
              <w:ind w:left="0"/>
              <w:jc w:val="both"/>
              <w:rPr>
                <w:rFonts w:ascii="Times New Roman" w:hAnsi="Times New Roman"/>
                <w:sz w:val="16"/>
                <w:szCs w:val="16"/>
              </w:rPr>
            </w:pPr>
          </w:p>
        </w:tc>
        <w:tc>
          <w:tcPr>
            <w:tcW w:w="1057" w:type="dxa"/>
            <w:tcBorders>
              <w:top w:val="nil"/>
              <w:bottom w:val="nil"/>
            </w:tcBorders>
          </w:tcPr>
          <w:p w14:paraId="6295D194" w14:textId="77777777" w:rsidR="004C584E" w:rsidRPr="004C584E" w:rsidRDefault="004C584E" w:rsidP="004C584E">
            <w:pPr>
              <w:pStyle w:val="ListParagraph"/>
              <w:spacing w:after="0" w:line="240" w:lineRule="auto"/>
              <w:ind w:left="0"/>
              <w:jc w:val="both"/>
              <w:rPr>
                <w:rFonts w:ascii="Times New Roman" w:hAnsi="Times New Roman"/>
                <w:sz w:val="16"/>
                <w:szCs w:val="16"/>
              </w:rPr>
            </w:pPr>
          </w:p>
        </w:tc>
      </w:tr>
      <w:tr w:rsidR="004C584E" w:rsidRPr="004C584E" w14:paraId="1646C469" w14:textId="77777777" w:rsidTr="004771B6">
        <w:trPr>
          <w:jc w:val="center"/>
        </w:trPr>
        <w:tc>
          <w:tcPr>
            <w:tcW w:w="1922" w:type="dxa"/>
            <w:tcBorders>
              <w:top w:val="nil"/>
              <w:bottom w:val="nil"/>
            </w:tcBorders>
          </w:tcPr>
          <w:p w14:paraId="2002FFE0"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Total</w:t>
            </w:r>
          </w:p>
        </w:tc>
        <w:tc>
          <w:tcPr>
            <w:tcW w:w="1356" w:type="dxa"/>
            <w:tcBorders>
              <w:top w:val="nil"/>
              <w:bottom w:val="nil"/>
            </w:tcBorders>
            <w:vAlign w:val="center"/>
          </w:tcPr>
          <w:p w14:paraId="2E1EE8E7"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330510.000</w:t>
            </w:r>
          </w:p>
        </w:tc>
        <w:tc>
          <w:tcPr>
            <w:tcW w:w="1128" w:type="dxa"/>
            <w:tcBorders>
              <w:top w:val="nil"/>
              <w:bottom w:val="nil"/>
            </w:tcBorders>
            <w:vAlign w:val="center"/>
          </w:tcPr>
          <w:p w14:paraId="72D9A60E"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57</w:t>
            </w:r>
          </w:p>
        </w:tc>
        <w:tc>
          <w:tcPr>
            <w:tcW w:w="1262" w:type="dxa"/>
            <w:tcBorders>
              <w:top w:val="nil"/>
              <w:bottom w:val="nil"/>
            </w:tcBorders>
          </w:tcPr>
          <w:p w14:paraId="22C45382" w14:textId="77777777" w:rsidR="004C584E" w:rsidRPr="004C584E" w:rsidRDefault="004C584E" w:rsidP="004C584E">
            <w:pPr>
              <w:pStyle w:val="ListParagraph"/>
              <w:spacing w:after="0" w:line="240" w:lineRule="auto"/>
              <w:ind w:left="0"/>
              <w:jc w:val="both"/>
              <w:rPr>
                <w:rFonts w:ascii="Times New Roman" w:hAnsi="Times New Roman"/>
                <w:sz w:val="16"/>
                <w:szCs w:val="16"/>
              </w:rPr>
            </w:pPr>
          </w:p>
        </w:tc>
        <w:tc>
          <w:tcPr>
            <w:tcW w:w="1213" w:type="dxa"/>
            <w:tcBorders>
              <w:top w:val="nil"/>
              <w:bottom w:val="nil"/>
            </w:tcBorders>
          </w:tcPr>
          <w:p w14:paraId="60C475C5" w14:textId="77777777" w:rsidR="004C584E" w:rsidRPr="004C584E" w:rsidRDefault="004C584E" w:rsidP="004C584E">
            <w:pPr>
              <w:pStyle w:val="ListParagraph"/>
              <w:spacing w:after="0" w:line="240" w:lineRule="auto"/>
              <w:ind w:left="0"/>
              <w:jc w:val="both"/>
              <w:rPr>
                <w:rFonts w:ascii="Times New Roman" w:hAnsi="Times New Roman"/>
                <w:sz w:val="16"/>
                <w:szCs w:val="16"/>
              </w:rPr>
            </w:pPr>
          </w:p>
        </w:tc>
        <w:tc>
          <w:tcPr>
            <w:tcW w:w="1057" w:type="dxa"/>
            <w:tcBorders>
              <w:top w:val="nil"/>
              <w:bottom w:val="nil"/>
            </w:tcBorders>
          </w:tcPr>
          <w:p w14:paraId="6BE6F4B5" w14:textId="77777777" w:rsidR="004C584E" w:rsidRPr="004C584E" w:rsidRDefault="004C584E" w:rsidP="004C584E">
            <w:pPr>
              <w:pStyle w:val="ListParagraph"/>
              <w:spacing w:after="0" w:line="240" w:lineRule="auto"/>
              <w:ind w:left="0"/>
              <w:jc w:val="both"/>
              <w:rPr>
                <w:rFonts w:ascii="Times New Roman" w:hAnsi="Times New Roman"/>
                <w:sz w:val="16"/>
                <w:szCs w:val="16"/>
              </w:rPr>
            </w:pPr>
          </w:p>
        </w:tc>
      </w:tr>
      <w:tr w:rsidR="004C584E" w:rsidRPr="004C584E" w14:paraId="7929A932" w14:textId="77777777" w:rsidTr="004771B6">
        <w:trPr>
          <w:jc w:val="center"/>
        </w:trPr>
        <w:tc>
          <w:tcPr>
            <w:tcW w:w="1922" w:type="dxa"/>
            <w:tcBorders>
              <w:top w:val="nil"/>
            </w:tcBorders>
          </w:tcPr>
          <w:p w14:paraId="33E99EFA"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Corrected Total</w:t>
            </w:r>
          </w:p>
        </w:tc>
        <w:tc>
          <w:tcPr>
            <w:tcW w:w="1356" w:type="dxa"/>
            <w:tcBorders>
              <w:top w:val="nil"/>
            </w:tcBorders>
            <w:vAlign w:val="center"/>
          </w:tcPr>
          <w:p w14:paraId="2484A474"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 xml:space="preserve">    4613.509</w:t>
            </w:r>
          </w:p>
        </w:tc>
        <w:tc>
          <w:tcPr>
            <w:tcW w:w="1128" w:type="dxa"/>
            <w:tcBorders>
              <w:top w:val="nil"/>
            </w:tcBorders>
            <w:vAlign w:val="center"/>
          </w:tcPr>
          <w:p w14:paraId="0FA5C27F"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56</w:t>
            </w:r>
          </w:p>
        </w:tc>
        <w:tc>
          <w:tcPr>
            <w:tcW w:w="1262" w:type="dxa"/>
            <w:tcBorders>
              <w:top w:val="nil"/>
            </w:tcBorders>
          </w:tcPr>
          <w:p w14:paraId="65233922" w14:textId="77777777" w:rsidR="004C584E" w:rsidRPr="004C584E" w:rsidRDefault="004C584E" w:rsidP="004C584E">
            <w:pPr>
              <w:pStyle w:val="ListParagraph"/>
              <w:spacing w:after="0" w:line="240" w:lineRule="auto"/>
              <w:ind w:left="0"/>
              <w:jc w:val="both"/>
              <w:rPr>
                <w:rFonts w:ascii="Times New Roman" w:hAnsi="Times New Roman"/>
                <w:sz w:val="16"/>
                <w:szCs w:val="16"/>
              </w:rPr>
            </w:pPr>
          </w:p>
        </w:tc>
        <w:tc>
          <w:tcPr>
            <w:tcW w:w="1213" w:type="dxa"/>
            <w:tcBorders>
              <w:top w:val="nil"/>
            </w:tcBorders>
          </w:tcPr>
          <w:p w14:paraId="1353B3A2" w14:textId="77777777" w:rsidR="004C584E" w:rsidRPr="004C584E" w:rsidRDefault="004C584E" w:rsidP="004C584E">
            <w:pPr>
              <w:pStyle w:val="ListParagraph"/>
              <w:spacing w:after="0" w:line="240" w:lineRule="auto"/>
              <w:ind w:left="0"/>
              <w:jc w:val="both"/>
              <w:rPr>
                <w:rFonts w:ascii="Times New Roman" w:hAnsi="Times New Roman"/>
                <w:sz w:val="16"/>
                <w:szCs w:val="16"/>
              </w:rPr>
            </w:pPr>
          </w:p>
        </w:tc>
        <w:tc>
          <w:tcPr>
            <w:tcW w:w="1057" w:type="dxa"/>
            <w:tcBorders>
              <w:top w:val="nil"/>
            </w:tcBorders>
          </w:tcPr>
          <w:p w14:paraId="0D1EFF02" w14:textId="77777777" w:rsidR="004C584E" w:rsidRPr="004C584E" w:rsidRDefault="004C584E" w:rsidP="004C584E">
            <w:pPr>
              <w:pStyle w:val="ListParagraph"/>
              <w:spacing w:after="0" w:line="240" w:lineRule="auto"/>
              <w:ind w:left="0"/>
              <w:jc w:val="both"/>
              <w:rPr>
                <w:rFonts w:ascii="Times New Roman" w:hAnsi="Times New Roman"/>
                <w:sz w:val="16"/>
                <w:szCs w:val="16"/>
              </w:rPr>
            </w:pPr>
          </w:p>
        </w:tc>
      </w:tr>
      <w:tr w:rsidR="004C584E" w:rsidRPr="004C584E" w14:paraId="72D02BF4" w14:textId="77777777" w:rsidTr="004771B6">
        <w:trPr>
          <w:jc w:val="center"/>
        </w:trPr>
        <w:tc>
          <w:tcPr>
            <w:tcW w:w="7938" w:type="dxa"/>
            <w:gridSpan w:val="6"/>
          </w:tcPr>
          <w:p w14:paraId="4E4CC937" w14:textId="77777777" w:rsidR="004C584E" w:rsidRPr="004C584E" w:rsidRDefault="004C584E" w:rsidP="004C584E">
            <w:pPr>
              <w:pStyle w:val="ListParagraph"/>
              <w:spacing w:after="0" w:line="240" w:lineRule="auto"/>
              <w:ind w:left="0"/>
              <w:jc w:val="both"/>
              <w:rPr>
                <w:rFonts w:ascii="Times New Roman" w:hAnsi="Times New Roman"/>
                <w:sz w:val="16"/>
                <w:szCs w:val="16"/>
              </w:rPr>
            </w:pPr>
            <w:r w:rsidRPr="004C584E">
              <w:rPr>
                <w:rFonts w:ascii="Times New Roman" w:hAnsi="Times New Roman"/>
                <w:color w:val="000000"/>
                <w:sz w:val="16"/>
                <w:szCs w:val="16"/>
              </w:rPr>
              <w:t>a. R Squared = ,364 (Adjusted R Squared = ,341)</w:t>
            </w:r>
          </w:p>
        </w:tc>
      </w:tr>
    </w:tbl>
    <w:p w14:paraId="37331BD7" w14:textId="77777777" w:rsidR="004C584E" w:rsidRPr="004C584E" w:rsidRDefault="004C584E" w:rsidP="004C584E">
      <w:pPr>
        <w:pStyle w:val="ListParagraph"/>
        <w:spacing w:after="0" w:line="240" w:lineRule="auto"/>
        <w:ind w:left="360"/>
        <w:jc w:val="both"/>
        <w:rPr>
          <w:rFonts w:ascii="Times New Roman" w:hAnsi="Times New Roman"/>
          <w:b/>
          <w:sz w:val="20"/>
          <w:szCs w:val="20"/>
        </w:rPr>
      </w:pPr>
    </w:p>
    <w:p w14:paraId="3EBFC5AC" w14:textId="77777777" w:rsidR="004C584E" w:rsidRPr="004C584E" w:rsidRDefault="004C584E" w:rsidP="004C584E">
      <w:pPr>
        <w:ind w:firstLine="709"/>
        <w:jc w:val="both"/>
      </w:pPr>
      <w:r w:rsidRPr="004C584E">
        <w:t xml:space="preserve">Table 4 shows that the </w:t>
      </w:r>
      <w:proofErr w:type="spellStart"/>
      <w:r w:rsidRPr="004C584E">
        <w:t>Fcount</w:t>
      </w:r>
      <w:proofErr w:type="spellEnd"/>
      <w:r w:rsidRPr="004C584E">
        <w:t xml:space="preserve"> value of the learning model is 8.643, with a significance value of 0.005. It means that the significance value is smaller than the alpha value (0.05), then Ha, which states that there is an effect of the learning model on metacognitive awareness, is accepted, and H0 is rejected. It means that the learning model affects students' metacognitive awareness.</w:t>
      </w:r>
    </w:p>
    <w:p w14:paraId="1A128CD8" w14:textId="22924D4B" w:rsidR="004C584E" w:rsidRPr="004C584E" w:rsidRDefault="004C584E" w:rsidP="004C584E">
      <w:pPr>
        <w:ind w:firstLine="709"/>
        <w:jc w:val="both"/>
        <w:rPr>
          <w:color w:val="000000"/>
        </w:rPr>
      </w:pPr>
      <w:bookmarkStart w:id="4" w:name="_Hlk99717659"/>
      <w:r w:rsidRPr="004C584E">
        <w:t>The results of hypothesis testing show that the learning model provides a good effect or influence on the metacognitive awareness variable. The LSD test results show that the PBLRQA learning model has more potential to increase metacognitive awareness.</w:t>
      </w:r>
      <w:bookmarkEnd w:id="4"/>
      <w:r w:rsidRPr="004C584E">
        <w:rPr>
          <w:color w:val="000000"/>
        </w:rPr>
        <w:t xml:space="preserve"> The PBLRQA learning model has the potential to increase metacognitive awareness. </w:t>
      </w:r>
      <w:r w:rsidR="000B6F34">
        <w:rPr>
          <w:color w:val="000000"/>
        </w:rPr>
        <w:t>T</w:t>
      </w:r>
      <w:r w:rsidRPr="004C584E">
        <w:rPr>
          <w:color w:val="000000"/>
        </w:rPr>
        <w:t>his learning model helps students organize themselves in learning, for example, planning, implementing, and evaluating their learning</w:t>
      </w:r>
      <w:r w:rsidR="001100ED">
        <w:rPr>
          <w:color w:val="000000"/>
        </w:rPr>
        <w:t xml:space="preserve"> </w:t>
      </w:r>
      <w:r w:rsidR="001100ED">
        <w:rPr>
          <w:color w:val="000000"/>
        </w:rPr>
        <w:fldChar w:fldCharType="begin" w:fldLock="1"/>
      </w:r>
      <w:r w:rsidR="001100ED">
        <w:rPr>
          <w:color w:val="000000"/>
        </w:rPr>
        <w:instrText>ADDIN CSL_CITATION {"citationItems":[{"id":"ITEM-1","itemData":{"author":[{"dropping-particle":"","family":"Syarifah","given":"Anna","non-dropping-particle":"","parse-names":false,"suffix":""}],"container-title":"Journal of Biology Education","id":"ITEM-1","issue":"2","issued":{"date-parts":[["2022"]]},"page":"282-287","title":"The Student Worksheet Based on Reading, Questioning and Answering (RQA) on Circulatory System Materials","type":"article-journal","volume":"11"},"uris":["http://www.mendeley.com/documents/?uuid=fa615a74-c248-4abd-86fe-917885b25446"]}],"mendeley":{"formattedCitation":"[45]","plainTextFormattedCitation":"[45]","previouslyFormattedCitation":"[45]"},"properties":{"noteIndex":0},"schema":"https://github.com/citation-style-language/schema/raw/master/csl-citation.json"}</w:instrText>
      </w:r>
      <w:r w:rsidR="001100ED">
        <w:rPr>
          <w:color w:val="000000"/>
        </w:rPr>
        <w:fldChar w:fldCharType="separate"/>
      </w:r>
      <w:r w:rsidR="001100ED" w:rsidRPr="001100ED">
        <w:rPr>
          <w:noProof/>
          <w:color w:val="000000"/>
        </w:rPr>
        <w:t>[45]</w:t>
      </w:r>
      <w:r w:rsidR="001100ED">
        <w:rPr>
          <w:color w:val="000000"/>
        </w:rPr>
        <w:fldChar w:fldCharType="end"/>
      </w:r>
      <w:r w:rsidRPr="004C584E">
        <w:rPr>
          <w:color w:val="000000"/>
        </w:rPr>
        <w:t xml:space="preserve">. In RQA, there is a </w:t>
      </w:r>
      <w:r w:rsidRPr="004C584E">
        <w:rPr>
          <w:i/>
          <w:color w:val="000000"/>
        </w:rPr>
        <w:t xml:space="preserve">reading </w:t>
      </w:r>
      <w:r w:rsidRPr="004C584E">
        <w:rPr>
          <w:color w:val="000000"/>
        </w:rPr>
        <w:t xml:space="preserve">phase where students can use various information or learning materials prepared by the lecturer. In addition, students can add or search for similar information or supporting information in reading to compare or analyze the various truths </w:t>
      </w:r>
      <w:r w:rsidRPr="004C584E">
        <w:rPr>
          <w:color w:val="000000"/>
        </w:rPr>
        <w:lastRenderedPageBreak/>
        <w:t xml:space="preserve">of the information. Another important phase of RQA learning is </w:t>
      </w:r>
      <w:r w:rsidRPr="004C584E">
        <w:rPr>
          <w:i/>
          <w:color w:val="000000"/>
        </w:rPr>
        <w:t>questioning</w:t>
      </w:r>
      <w:r w:rsidRPr="004C584E">
        <w:rPr>
          <w:color w:val="000000"/>
        </w:rPr>
        <w:t>. In this phase, students formulate questions as a form of planning in learning, but it also helps encourage critical thinking skills</w:t>
      </w:r>
      <w:r w:rsidR="000B6F34">
        <w:rPr>
          <w:color w:val="000000"/>
        </w:rPr>
        <w:t xml:space="preserve"> </w:t>
      </w:r>
      <w:r w:rsidRPr="004C584E">
        <w:rPr>
          <w:color w:val="000000"/>
        </w:rPr>
        <w:fldChar w:fldCharType="begin" w:fldLock="1"/>
      </w:r>
      <w:r w:rsidR="003C5E1E">
        <w:rPr>
          <w:color w:val="000000"/>
        </w:rPr>
        <w:instrText>ADDIN CSL_CITATION {"citationItems":[{"id":"ITEM-1","itemData":{"abstract":"… of learning. Behavior plan consists of a set of learning objectives, sequence learning, learning strategies … Second, monitoring refers to moderate activity on learning progress. Monitoring …","author":[{"dropping-particle":"","family":"Bahri","given":"Arsad","non-dropping-particle":"","parse-names":false,"suffix":""}],"container-title":"Proceeding of ICMSTEA: International Conference on Mathematic, Science, Technology, Education and their Applications","id":"ITEM-1","issue":"October","issued":{"date-parts":[["2016"]]},"page":"156-162","title":"Exploring The Correlation Between Metacognitive Skills and Retention of Students in Different Learning Strategies in Biology Classroom","type":"article-journal"},"uris":["http://www.mendeley.com/documents/?uuid=cdcb789f-2508-4d1e-be9d-0037b01ba971"]}],"mendeley":{"formattedCitation":"[37]","plainTextFormattedCitation":"[37]","previouslyFormattedCitation":"[37]"},"properties":{"noteIndex":0},"schema":"https://github.com/citation-style-language/schema/raw/master/csl-citation.json"}</w:instrText>
      </w:r>
      <w:r w:rsidRPr="004C584E">
        <w:rPr>
          <w:color w:val="000000"/>
        </w:rPr>
        <w:fldChar w:fldCharType="separate"/>
      </w:r>
      <w:r w:rsidR="003C5E1E" w:rsidRPr="003C5E1E">
        <w:rPr>
          <w:noProof/>
          <w:color w:val="000000"/>
        </w:rPr>
        <w:t>[37]</w:t>
      </w:r>
      <w:r w:rsidRPr="004C584E">
        <w:rPr>
          <w:color w:val="000000"/>
        </w:rPr>
        <w:fldChar w:fldCharType="end"/>
      </w:r>
      <w:r w:rsidRPr="004C584E">
        <w:rPr>
          <w:color w:val="000000"/>
        </w:rPr>
        <w:t xml:space="preserve">. </w:t>
      </w:r>
      <w:bookmarkStart w:id="5" w:name="_Hlk99717733"/>
    </w:p>
    <w:p w14:paraId="54B1FEBA" w14:textId="60B95035" w:rsidR="004C584E" w:rsidRPr="004C584E" w:rsidRDefault="004C584E" w:rsidP="004C584E">
      <w:pPr>
        <w:ind w:firstLine="709"/>
        <w:jc w:val="both"/>
        <w:rPr>
          <w:color w:val="000000"/>
        </w:rPr>
      </w:pPr>
      <w:r w:rsidRPr="004C584E">
        <w:rPr>
          <w:color w:val="000000"/>
        </w:rPr>
        <w:t xml:space="preserve">Questioning is an integral part of meaningful learning and scientific inquiry. Formulating good questions is a creative act and the essence of science. </w:t>
      </w:r>
      <w:r w:rsidR="0040279C">
        <w:rPr>
          <w:color w:val="000000"/>
        </w:rPr>
        <w:t>Q</w:t>
      </w:r>
      <w:r w:rsidRPr="004C584E">
        <w:rPr>
          <w:color w:val="000000"/>
        </w:rPr>
        <w:t>uestioning is a thinking process skill structurally embedded in critical thinking, creative thinking, and problem-solving</w:t>
      </w:r>
      <w:r w:rsidR="003C5E1E">
        <w:rPr>
          <w:color w:val="000000"/>
        </w:rPr>
        <w:t xml:space="preserve"> </w:t>
      </w:r>
      <w:r w:rsidR="003C5E1E">
        <w:rPr>
          <w:color w:val="000000"/>
        </w:rPr>
        <w:fldChar w:fldCharType="begin" w:fldLock="1"/>
      </w:r>
      <w:r w:rsidR="003C5E1E">
        <w:rPr>
          <w:color w:val="000000"/>
        </w:rPr>
        <w:instrText>ADDIN CSL_CITATION {"citationItems":[{"id":"ITEM-1","itemData":{"DOI":"10.1002/(SICI)1098-2736(200002)37:2&lt;210::AID-TEA7&gt;3.0.CO;2-I","ISSN":"00224308","abstract":"The effects of instruction and achievement on science question level for high and low science topic interests were investigated. Eight seventh-grade classes were randomly assigned to two treatments: instruction and no instruction on researchable questioning. Each student completed the Middle School Students' Science Topic Interest Rating Scale (test-retest reliability, r = .84); selected two topics in which she or he was least interested and two topics in which she or he was most interested; wrote questions for each topic; and took the Stanford Achievement Tests in reading, mathematics, and science. The questions were rated using the four levels described by the Middle School Students' Science Question Rating Scale (interrater reliability, r = .96). The scores for each question were averaged for two raters, then summed for each interest level for each student. The data were analyzed for main and interaction effects using general linear modeling procedures. Question level was modeled with one within-subjects factor (science topic interest) and four between-subjects factors (instruction and three achievement scores). The results indicate that students who received instruction outperformed those students who were not instructed; and high achievers in mathematics, reading, or science outperformed low achievers. There were no interaction effects. © 2000 John Wiley &amp; Sons, Inc. J Res Sci Teach 37: 210-224, 2000.","author":[{"dropping-particle":"","family":"Cuccio-Schirripa","given":"Santine","non-dropping-particle":"","parse-names":false,"suffix":""},{"dropping-particle":"","family":"Steiner","given":"H. Edwin","non-dropping-particle":"","parse-names":false,"suffix":""}],"container-title":"Journal of Research in Science Teaching","id":"ITEM-1","issue":"2","issued":{"date-parts":[["2000"]]},"page":"210-224","title":"Enhancement and analysis of science question level for middle school students","type":"article-journal","volume":"37"},"uris":["http://www.mendeley.com/documents/?uuid=9af75bc9-7b02-418e-9115-ea6f62e30b52"]}],"mendeley":{"formattedCitation":"[46]","plainTextFormattedCitation":"[46]","previouslyFormattedCitation":"[46]"},"properties":{"noteIndex":0},"schema":"https://github.com/citation-style-language/schema/raw/master/csl-citation.json"}</w:instrText>
      </w:r>
      <w:r w:rsidR="003C5E1E">
        <w:rPr>
          <w:color w:val="000000"/>
        </w:rPr>
        <w:fldChar w:fldCharType="separate"/>
      </w:r>
      <w:r w:rsidR="003C5E1E" w:rsidRPr="003C5E1E">
        <w:rPr>
          <w:noProof/>
          <w:color w:val="000000"/>
        </w:rPr>
        <w:t>[46]</w:t>
      </w:r>
      <w:r w:rsidR="003C5E1E">
        <w:rPr>
          <w:color w:val="000000"/>
        </w:rPr>
        <w:fldChar w:fldCharType="end"/>
      </w:r>
      <w:r w:rsidRPr="004C584E">
        <w:rPr>
          <w:color w:val="000000"/>
        </w:rPr>
        <w:t xml:space="preserve">. Despite students' questioning capacity, much potential exists to enhance learning, but it needs to be tapped. It may be because students do not want to draw attention to </w:t>
      </w:r>
      <w:proofErr w:type="gramStart"/>
      <w:r w:rsidRPr="004C584E">
        <w:rPr>
          <w:color w:val="000000"/>
        </w:rPr>
        <w:t>themselves</w:t>
      </w:r>
      <w:proofErr w:type="gramEnd"/>
      <w:r w:rsidRPr="004C584E">
        <w:rPr>
          <w:color w:val="000000"/>
        </w:rPr>
        <w:t xml:space="preserve"> or because teachers often need to encourage students to question. Also, only some students spontaneously ask high-quality thinking or cognitive questions, with most of the questions being factual, procedural, or closed-ended </w:t>
      </w:r>
      <w:r w:rsidRPr="004C584E">
        <w:rPr>
          <w:color w:val="000000"/>
        </w:rPr>
        <w:fldChar w:fldCharType="begin" w:fldLock="1"/>
      </w:r>
      <w:r w:rsidR="003C5E1E">
        <w:rPr>
          <w:color w:val="000000"/>
        </w:rPr>
        <w:instrText>ADDIN CSL_CITATION {"citationItems":[{"id":"ITEM-1","itemData":{"DOI":"10.1080/03057260701828101","ISSN":"19408412","abstract":"Students’ questions play an important role in meaningful learning and scientific inquiry. They are a potential resource for both teaching and learning science. Despite the capacity of students’ questions for enhancing learning, much of this potential still remains untapped. The purpose of this paper, therefore, is to examine and review the existing research on students’ questions and to explore ways of advancing future work into this area. The paper begins by highlighting the importance and role of students’ questions from the perspectives of both the learner and the teacher. It then reviews the empirical research on students’ questions, with a focus on four areas: (1) the nature and types of these questions; (2) the effects of teaching students questioning skills; (3) the relationship between students’ questions and selected variables; and (4) teachers’ responses to, and students’ perceptions of, students’ questions. Following this, some issues and implications of students’ questions for classroom instruction are discussed. The paper concludes by suggesting several areas for future research that have significant value for student learning. © 2008 Taylor &amp; Francis.","author":[{"dropping-particle":"","family":"Chin","given":"Christine","non-dropping-particle":"","parse-names":false,"suffix":""},{"dropping-particle":"","family":"Osborne","given":"Jonathan","non-dropping-particle":"","parse-names":false,"suffix":""}],"container-title":"Studies in Science Education","id":"ITEM-1","issue":"1","issued":{"date-parts":[["2008"]]},"page":"1-39","title":"Students’ questions: A potential resource for teaching and learning science","type":"article-journal","volume":"44"},"uris":["http://www.mendeley.com/documents/?uuid=819cc548-b1ff-421f-a182-347f62389d8e"]}],"mendeley":{"formattedCitation":"[47]","plainTextFormattedCitation":"[47]","previouslyFormattedCitation":"[47]"},"properties":{"noteIndex":0},"schema":"https://github.com/citation-style-language/schema/raw/master/csl-citation.json"}</w:instrText>
      </w:r>
      <w:r w:rsidRPr="004C584E">
        <w:rPr>
          <w:color w:val="000000"/>
        </w:rPr>
        <w:fldChar w:fldCharType="separate"/>
      </w:r>
      <w:r w:rsidR="003C5E1E" w:rsidRPr="003C5E1E">
        <w:rPr>
          <w:noProof/>
          <w:color w:val="000000"/>
        </w:rPr>
        <w:t>[47]</w:t>
      </w:r>
      <w:r w:rsidRPr="004C584E">
        <w:rPr>
          <w:color w:val="000000"/>
        </w:rPr>
        <w:fldChar w:fldCharType="end"/>
      </w:r>
      <w:r w:rsidRPr="004C584E">
        <w:rPr>
          <w:color w:val="000000"/>
        </w:rPr>
        <w:t>.</w:t>
      </w:r>
    </w:p>
    <w:p w14:paraId="4B86119E" w14:textId="77777777" w:rsidR="004C584E" w:rsidRPr="004C584E" w:rsidRDefault="004C584E" w:rsidP="004C584E">
      <w:pPr>
        <w:ind w:firstLine="709"/>
        <w:jc w:val="both"/>
      </w:pPr>
      <w:bookmarkStart w:id="6" w:name="_Hlk99717750"/>
      <w:bookmarkEnd w:id="5"/>
      <w:r w:rsidRPr="004C584E">
        <w:t xml:space="preserve">Another phase that has the potential to increase metacognitive awareness and critical thinking skills is </w:t>
      </w:r>
      <w:r w:rsidRPr="004C584E">
        <w:rPr>
          <w:i/>
        </w:rPr>
        <w:t>answering</w:t>
      </w:r>
      <w:r w:rsidRPr="004C584E">
        <w:t>. Questions developed by students are more directed at developing metacognition and higher-order thinking skills. Therefore, the answers are also obtained through in-depth investigation and exploration by students through searching and extracting data or information from various sources or references. These cognitive processes effectively increase metacognitive awareness and creative thinking skills.</w:t>
      </w:r>
    </w:p>
    <w:p w14:paraId="715EB163" w14:textId="4F20A028" w:rsidR="004C584E" w:rsidRPr="004C584E" w:rsidRDefault="004C584E" w:rsidP="004C584E">
      <w:pPr>
        <w:ind w:firstLine="709"/>
        <w:jc w:val="both"/>
      </w:pPr>
      <w:r w:rsidRPr="004C584E">
        <w:t>In RQA, questions are asked for several purposes. First, teachers ask questions in class to check students' understanding. When the lecturer presents new material or relates to previous content, the lecturer can use questions to check whether the students have understood. Second, teachers ask questions to find out if students are thinking. The art of making good decisions often begins with the art of asking the right questions. In addition, questions can be used to encourage students to talk about themselves and their experiences. Questions encourage students to interact in groups. Questions require students' cognitive engagement in learning by initiating interaction in the classroom. Students who engage in dialogical thinking engage in discussion. Discussion and dialogue are central to developing students' critical thinking skills. On the other hand, questions also play an important role in motivating students. Questions to students are one of the strategies to train their critical thinking skills. Students' level of thinking is, in fact, directly proportional to the level of questions asked</w:t>
      </w:r>
      <w:bookmarkEnd w:id="6"/>
      <w:r w:rsidR="003C5E1E">
        <w:t xml:space="preserve"> </w:t>
      </w:r>
      <w:r w:rsidR="003C5E1E">
        <w:fldChar w:fldCharType="begin" w:fldLock="1"/>
      </w:r>
      <w:r w:rsidR="003C5E1E">
        <w:instrText>ADDIN CSL_CITATION {"citationItems":[{"id":"ITEM-1","itemData":{"DOI":"10.1080/02619760802420784","ISSN":"02619768","abstract":"It is important that trainee teachers in the faculties of education should develop their critical thinking skills so that they can meet the expectations and needs of their profession. This study aimed at investigating the relationship between critical thinking skills and in-class questioning behaviours of English Language Teaching (ELT) students at the Faculty of Education at Mugla University. The authors attempted to find out answers to the following questions: 'What kinds of questions do students in lower and higher critical thinking groups ask?' and 'Is there a difference between the questions of students with higher and lower critical thinking scores?' Three data collection instruments were used: Ennis-Weir Critical Thinking Essay Test; a reading passage; and a structured interview. The findings obtained suggest that the questions asked by the students of the higher critical thinking score group are not questions that clarify unclear points, but questions asked out of curiosity, to remove the uncertainties, and to lead people to think profoundly. Moreover, these students ask questions to find alternatives, to think the reverse and to head for new ideas. The students in the higher score group experienced thinking processes more intensively than the lower score group.","author":[{"dropping-particle":"","family":"Seker","given":"Hasan","non-dropping-particle":"","parse-names":false,"suffix":""},{"dropping-particle":"","family":"Kömür","given":"Şevki","non-dropping-particle":"","parse-names":false,"suffix":""}],"container-title":"European Journal of Teacher Education","id":"ITEM-1","issue":"4","issued":{"date-parts":[["2008"]]},"page":"389-402","title":"The relationship between critical thinking skills and in-class questioning behaviours of English language teaching students","type":"article-journal","volume":"31"},"uris":["http://www.mendeley.com/documents/?uuid=42acef7b-cea8-41ba-ad73-8f750e275578"]}],"mendeley":{"formattedCitation":"[48]","plainTextFormattedCitation":"[48]","previouslyFormattedCitation":"[48]"},"properties":{"noteIndex":0},"schema":"https://github.com/citation-style-language/schema/raw/master/csl-citation.json"}</w:instrText>
      </w:r>
      <w:r w:rsidR="003C5E1E">
        <w:fldChar w:fldCharType="separate"/>
      </w:r>
      <w:r w:rsidR="003C5E1E" w:rsidRPr="003C5E1E">
        <w:rPr>
          <w:noProof/>
        </w:rPr>
        <w:t>[48]</w:t>
      </w:r>
      <w:r w:rsidR="003C5E1E">
        <w:fldChar w:fldCharType="end"/>
      </w:r>
      <w:r w:rsidR="003C5E1E">
        <w:t xml:space="preserve">, </w:t>
      </w:r>
      <w:r w:rsidR="003C5E1E">
        <w:fldChar w:fldCharType="begin" w:fldLock="1"/>
      </w:r>
      <w:r w:rsidR="003C5E1E">
        <w:instrText>ADDIN CSL_CITATION {"citationItems":[{"id":"ITEM-1","itemData":{"DOI":"10.1016/j.tsc.2017.12.004","ISSN":"18711871","abstract":"American education is failing to fill the growing demand for science, technology, engineering, and mathematics (STEM) graduates. The lack of critical reasoning skills may be a causal factor in student attrition from STEM majors. Our objective in this study was to discover and describe common false strategies used by undergraduate students during the scientific reasoning process. Each of these false strategies is described, with accompanying examples from student responses, to illustrate the thinking patterns. We defined targeted areas for instruction that can lead to better performance, greater academic self-confidence, and increased retention in STEM degrees. Understanding how students think through problems and where they are making mistakes facilitates the creation of specialized programs to correct these false reasoning strategies and increase the scientific reasoning ability of students.","author":[{"dropping-particle":"","family":"Woolley","given":"Jenica Sera","non-dropping-particle":"","parse-names":false,"suffix":""},{"dropping-particle":"","family":"Deal","given":"Austen Michael","non-dropping-particle":"","parse-names":false,"suffix":""},{"dropping-particle":"","family":"Green","given":"Juliette","non-dropping-particle":"","parse-names":false,"suffix":""},{"dropping-particle":"","family":"Hathenbruck","given":"Faith","non-dropping-particle":"","parse-names":false,"suffix":""},{"dropping-particle":"","family":"Kurtz","given":"Shelby Ann","non-dropping-particle":"","parse-names":false,"suffix":""},{"dropping-particle":"","family":"Park","given":"Trent K.H.","non-dropping-particle":"","parse-names":false,"suffix":""},{"dropping-particle":"","family":"Pollock","given":"Samuel Var Selle","non-dropping-particle":"","parse-names":false,"suffix":""},{"dropping-particle":"","family":"Transtrum","given":"M. Bryant","non-dropping-particle":"","parse-names":false,"suffix":""},{"dropping-particle":"","family":"Jensen","given":"Jamie Lee","non-dropping-particle":"","parse-names":false,"suffix":""}],"container-title":"Thinking Skills and Creativity","id":"ITEM-1","issued":{"date-parts":[["2018"]]},"page":"101-113","publisher":"Elsevier","title":"Undergraduate students demonstrate common false scientific reasoning strategies","type":"article-journal","volume":"27"},"uris":["http://www.mendeley.com/documents/?uuid=a16fb708-7b61-4892-851d-0096452d8e51"]}],"mendeley":{"formattedCitation":"[49]","plainTextFormattedCitation":"[49]","previouslyFormattedCitation":"[49]"},"properties":{"noteIndex":0},"schema":"https://github.com/citation-style-language/schema/raw/master/csl-citation.json"}</w:instrText>
      </w:r>
      <w:r w:rsidR="003C5E1E">
        <w:fldChar w:fldCharType="separate"/>
      </w:r>
      <w:r w:rsidR="003C5E1E" w:rsidRPr="003C5E1E">
        <w:rPr>
          <w:noProof/>
        </w:rPr>
        <w:t>[49]</w:t>
      </w:r>
      <w:r w:rsidR="003C5E1E">
        <w:fldChar w:fldCharType="end"/>
      </w:r>
      <w:r w:rsidR="003C5E1E">
        <w:t>.</w:t>
      </w:r>
      <w:r w:rsidR="003C5E1E" w:rsidRPr="004C584E">
        <w:t xml:space="preserve"> </w:t>
      </w:r>
    </w:p>
    <w:p w14:paraId="58C81EBF" w14:textId="30CB85CF" w:rsidR="004C584E" w:rsidRPr="004C584E" w:rsidRDefault="0040279C" w:rsidP="004C584E">
      <w:pPr>
        <w:ind w:firstLine="709"/>
        <w:jc w:val="both"/>
      </w:pPr>
      <w:r>
        <w:t>T</w:t>
      </w:r>
      <w:r w:rsidR="004C584E" w:rsidRPr="004C584E">
        <w:t xml:space="preserve">he learning model for honing critical thinking emphasizes learning </w:t>
      </w:r>
      <w:proofErr w:type="spellStart"/>
      <w:r w:rsidR="004C584E" w:rsidRPr="004C584E">
        <w:t>transconstextual</w:t>
      </w:r>
      <w:proofErr w:type="spellEnd"/>
      <w:r w:rsidR="004C584E" w:rsidRPr="004C584E">
        <w:t xml:space="preserve"> thinking skills and metacognition. This model consists of four components: (1) the disposition or attitude to recognize that these skills are needed and the willingness to apply them, (2) the instruction and practice needed so that students and society, in general, know that critical thinking skills can be generalized, identified, and assessed, (3) the presence of structured problems or new contexts and (4) metacognition, which directs what we know about what we know</w:t>
      </w:r>
      <w:r>
        <w:t xml:space="preserve"> </w:t>
      </w:r>
      <w:r w:rsidR="003C5E1E">
        <w:fldChar w:fldCharType="begin" w:fldLock="1"/>
      </w:r>
      <w:r w:rsidR="001100ED">
        <w:instrText>ADDIN CSL_CITATION {"citationItems":[{"id":"ITEM-1","itemData":{"DOI":"10.1080/07294360.2010.501074","author":[{"dropping-particle":"","family":"Yih","given":"Megan","non-dropping-particle":"","parse-names":false,"suffix":""},{"dropping-particle":"","family":"Kek","given":"Chyn A","non-dropping-particle":"","parse-names":false,"suffix":""},{"dropping-particle":"","family":"Huijser","given":"Henk","non-dropping-particle":"","parse-names":false,"suffix":""}],"container-title":"Higher Education Research &amp; Development","id":"ITEM-1","issue":"3","issued":{"date-parts":[["2011"]]},"page":"329-341","title":"Higher Education Research &amp; The power of problem ‐ based learning in developing critical thinking skills : preparing students for tomorrow ’ s digital futures in today ’ s classrooms","type":"article-journal","volume":"30"},"uris":["http://www.mendeley.com/documents/?uuid=ce5da859-460a-489e-b736-84756ea1f83d"]}],"mendeley":{"formattedCitation":"[50]","plainTextFormattedCitation":"[50]","previouslyFormattedCitation":"[50]"},"properties":{"noteIndex":0},"schema":"https://github.com/citation-style-language/schema/raw/master/csl-citation.json"}</w:instrText>
      </w:r>
      <w:r w:rsidR="003C5E1E">
        <w:fldChar w:fldCharType="separate"/>
      </w:r>
      <w:r w:rsidR="003C5E1E" w:rsidRPr="003C5E1E">
        <w:rPr>
          <w:noProof/>
        </w:rPr>
        <w:t>[50]</w:t>
      </w:r>
      <w:r w:rsidR="003C5E1E">
        <w:fldChar w:fldCharType="end"/>
      </w:r>
      <w:bookmarkStart w:id="7" w:name="_Hlk99717795"/>
      <w:r w:rsidR="003C5E1E">
        <w:t>.</w:t>
      </w:r>
      <w:r w:rsidR="00C21CC2">
        <w:t xml:space="preserve"> </w:t>
      </w:r>
      <w:r w:rsidR="004C584E" w:rsidRPr="004C584E">
        <w:t>18 specific techniques for students to master critical thinking skills, which has implications for preparing instruction. The examples include being an active learner, asking questions, thinking as an instructor or coach, and seeking interconnections.</w:t>
      </w:r>
    </w:p>
    <w:p w14:paraId="105061ED" w14:textId="6D6A43E9" w:rsidR="004C584E" w:rsidRPr="004C584E" w:rsidRDefault="004C584E" w:rsidP="004C584E">
      <w:pPr>
        <w:ind w:firstLine="709"/>
        <w:jc w:val="both"/>
      </w:pPr>
      <w:r w:rsidRPr="004C584E">
        <w:t>Besides RQA, PBL also has the potential to increase metacognitive awareness. PBL is the most innovative learning model that stimulates students, where structured or authentic problems are presented to students to embed the learning process by building new knowledge into solving the problem</w:t>
      </w:r>
      <w:r w:rsidR="001100ED">
        <w:t xml:space="preserve"> </w:t>
      </w:r>
      <w:r w:rsidR="001100ED">
        <w:fldChar w:fldCharType="begin" w:fldLock="1"/>
      </w:r>
      <w:r w:rsidR="0060109B">
        <w:instrText>ADDIN CSL_CITATION {"citationItems":[{"id":"ITEM-1","itemData":{"author":[{"dropping-particle":"","family":"Hmelo-silver","given":"Cindy E","non-dropping-particle":"","parse-names":false,"suffix":""}],"container-title":"Educational Psychology Review","id":"ITEM-1","issue":"3","issued":{"date-parts":[["2004"]]},"page":"235-266","title":"Problem-Based Learning: What and How Do Students Learn? on JSTOR","type":"article-journal","volume":"16"},"uris":["http://www.mendeley.com/documents/?uuid=6de93958-4074-49ac-8222-3481ea9cc300"]}],"mendeley":{"formattedCitation":"[51]","plainTextFormattedCitation":"[51]","previouslyFormattedCitation":"[51]"},"properties":{"noteIndex":0},"schema":"https://github.com/citation-style-language/schema/raw/master/csl-citation.json"}</w:instrText>
      </w:r>
      <w:r w:rsidR="001100ED">
        <w:fldChar w:fldCharType="separate"/>
      </w:r>
      <w:r w:rsidR="001100ED" w:rsidRPr="001100ED">
        <w:rPr>
          <w:noProof/>
        </w:rPr>
        <w:t>[51]</w:t>
      </w:r>
      <w:r w:rsidR="001100ED">
        <w:fldChar w:fldCharType="end"/>
      </w:r>
      <w:r w:rsidR="001100ED">
        <w:t xml:space="preserve">. </w:t>
      </w:r>
      <w:r w:rsidRPr="004C584E">
        <w:rPr>
          <w:color w:val="000000" w:themeColor="text1"/>
        </w:rPr>
        <w:t>Studies show that PBL not only increases awareness in learning but also critical thinking skills, improves students' academic achievement, and enables them to communicate in group discussions and build their knowledge compared to conventional learning models</w:t>
      </w:r>
      <w:bookmarkEnd w:id="7"/>
      <w:r w:rsidR="00C21CC2">
        <w:rPr>
          <w:color w:val="000000" w:themeColor="text1"/>
        </w:rPr>
        <w:t xml:space="preserve"> </w:t>
      </w:r>
      <w:r w:rsidRPr="004C584E">
        <w:rPr>
          <w:color w:val="000000" w:themeColor="text1"/>
        </w:rPr>
        <w:fldChar w:fldCharType="begin" w:fldLock="1"/>
      </w:r>
      <w:r w:rsidR="001100ED">
        <w:rPr>
          <w:color w:val="000000" w:themeColor="text1"/>
        </w:rPr>
        <w:instrText>ADDIN CSL_CITATION {"citationItems":[{"id":"ITEM-1","itemData":{"DOI":"10.1016/j.hpe.2016.01.004","ISSN":"2452-3011","author":[{"dropping-particle":"","family":"Yew","given":"Elaine H J","non-dropping-particle":"","parse-names":false,"suffix":""},{"dropping-particle":"","family":"Goh","given":"Karen","non-dropping-particle":"","parse-names":false,"suffix":""}],"container-title":"Health Professions Education","id":"ITEM-1","issue":"2","issued":{"date-parts":[["2016"]]},"page":"75-79","publisher":"Elsevier","title":"Problem-Based Learning : An Overview of its Process and Impact on Learning","type":"article-journal","volume":"2"},"uris":["http://www.mendeley.com/documents/?uuid=09eaf12f-aca1-4122-a550-3dd3f78fc6c9"]}],"mendeley":{"formattedCitation":"[52]","plainTextFormattedCitation":"[52]","previouslyFormattedCitation":"[52]"},"properties":{"noteIndex":0},"schema":"https://github.com/citation-style-language/schema/raw/master/csl-citation.json"}</w:instrText>
      </w:r>
      <w:r w:rsidRPr="004C584E">
        <w:rPr>
          <w:color w:val="000000" w:themeColor="text1"/>
        </w:rPr>
        <w:fldChar w:fldCharType="separate"/>
      </w:r>
      <w:r w:rsidR="001100ED" w:rsidRPr="001100ED">
        <w:rPr>
          <w:noProof/>
          <w:color w:val="000000" w:themeColor="text1"/>
        </w:rPr>
        <w:t>[52]</w:t>
      </w:r>
      <w:r w:rsidRPr="004C584E">
        <w:rPr>
          <w:color w:val="000000" w:themeColor="text1"/>
        </w:rPr>
        <w:fldChar w:fldCharType="end"/>
      </w:r>
      <w:r w:rsidRPr="004C584E">
        <w:rPr>
          <w:color w:val="000000" w:themeColor="text1"/>
        </w:rPr>
        <w:t>. Other results show that PBL increases student engagement by fostering group work skills that stimulate cooperation and mutual analysis by enabling knowledge, information sharing, and discussion</w:t>
      </w:r>
      <w:r w:rsidR="001100ED">
        <w:rPr>
          <w:color w:val="000000" w:themeColor="text1"/>
        </w:rPr>
        <w:t xml:space="preserve"> </w:t>
      </w:r>
      <w:r w:rsidR="001100ED">
        <w:rPr>
          <w:color w:val="000000" w:themeColor="text1"/>
        </w:rPr>
        <w:fldChar w:fldCharType="begin" w:fldLock="1"/>
      </w:r>
      <w:r w:rsidR="001100ED">
        <w:rPr>
          <w:color w:val="000000" w:themeColor="text1"/>
        </w:rPr>
        <w:instrText>ADDIN CSL_CITATION {"citationItems":[{"id":"ITEM-1","itemData":{"DOI":"10.1177/2158244020938702","ISBN":"2158244020938","ISSN":"21582440","abstract":"The prevalence of project-based learning (PBL) has increased significantly, contributing to serious discussions about its advent. PBL’s critics doubt whether accentuating the practice supports teachers in using a technocratic method in education, instead of promoting instruction that is responsive to students’ ideas. Thus, this study aims to develop on using the effectiveness of the PBL approach, as a way to engage students in learning as well as to incorporate literature on the PBL method for educational purposes. The research hypotheses therefore measure the influence of the PBL method on collaborative learning, disciplinary subject learning, iterative learning, and authentic learning, which, in turn, engage students in learning. To achieve the research purpose, a questionnaire was employed as the main method of collecting data and dispensed to 124 teachers who were using the PBL approach. Structural equation modeling (SEM), a quantitative research method, was employed to obtain the findings. A significant relation was found between the PBL method and collaborative learning, disciplinary subject learning, iterative learning, and authentic learning, which, in turn, produced student engagement. The results show that the PBL technique improves student engagement by enabling knowledge and information sharing and discussion. Thus, the PBL approach is highly recommended for educational use by students and should be encouraged in universities.","author":[{"dropping-particle":"","family":"Almulla","given":"Mohammed Abdullatif","non-dropping-particle":"","parse-names":false,"suffix":""}],"container-title":"SAGE Open","id":"ITEM-1","issue":"3","issued":{"date-parts":[["2020"]]},"page":"1-15","title":"The Effectiveness of the Project-Based Learning (PBL) Approach as a Way to Engage Students in Learning","type":"article-journal","volume":"10"},"uris":["http://www.mendeley.com/documents/?uuid=15dc33a2-c582-46cd-9165-253f894a6c19"]}],"mendeley":{"formattedCitation":"[53]","plainTextFormattedCitation":"[53]","previouslyFormattedCitation":"[53]"},"properties":{"noteIndex":0},"schema":"https://github.com/citation-style-language/schema/raw/master/csl-citation.json"}</w:instrText>
      </w:r>
      <w:r w:rsidR="001100ED">
        <w:rPr>
          <w:color w:val="000000" w:themeColor="text1"/>
        </w:rPr>
        <w:fldChar w:fldCharType="separate"/>
      </w:r>
      <w:r w:rsidR="001100ED" w:rsidRPr="001100ED">
        <w:rPr>
          <w:noProof/>
          <w:color w:val="000000" w:themeColor="text1"/>
        </w:rPr>
        <w:t>[53]</w:t>
      </w:r>
      <w:r w:rsidR="001100ED">
        <w:rPr>
          <w:color w:val="000000" w:themeColor="text1"/>
        </w:rPr>
        <w:fldChar w:fldCharType="end"/>
      </w:r>
      <w:r w:rsidR="001100ED">
        <w:rPr>
          <w:color w:val="000000" w:themeColor="text1"/>
        </w:rPr>
        <w:t xml:space="preserve">, </w:t>
      </w:r>
      <w:r w:rsidR="001100ED">
        <w:rPr>
          <w:color w:val="000000" w:themeColor="text1"/>
        </w:rPr>
        <w:fldChar w:fldCharType="begin" w:fldLock="1"/>
      </w:r>
      <w:r w:rsidR="001100ED">
        <w:rPr>
          <w:color w:val="000000" w:themeColor="text1"/>
        </w:rPr>
        <w:instrText>ADDIN CSL_CITATION {"citationItems":[{"id":"ITEM-1","itemData":{"DOI":"10.1177/02557614221130526","ISBN":"0255761422","ISSN":"1744795X","abstract":"This article analyzes the implementation of problem-based learning (PBL) in music teacher education. A qualitative action-research took place at the Instituto Federal de Educação, Ciência e Tecnologia (IF), in Northeast Brazil, including Music Education students and selected staff. The pedagogical intervention was carried out by in-class activities based on five suggested problems. The interpretation of the data indicates that PBL can enrich the education process of the music teacher by bringing the formative stage closer to the practical world, through problems that present real-life situations in teaching elementary, middle, and high school levels. The effectiveness of its implementation depends on institutional, curricular, and cultural factors as well as the knowledge of PBL frameworks. PBL’s dynamics reconfigures the teacher/student relationship, promotes the development of learning autonomy and the recognition of a music teacher identity. It also fosters group-work skills that stimulate cooperation and mutual analysis, in addition to encouraging reflective professional practices.","author":[{"dropping-particle":"","family":"Fonsêca Barros","given":"Matheus Henrique","non-dropping-particle":"da","parse-names":false,"suffix":""},{"dropping-particle":"","family":"Penna","given":"Maura","non-dropping-particle":"","parse-names":false,"suffix":""}],"container-title":"International Journal of Music Education","id":"ITEM-1","issued":{"date-parts":[["2022"]]},"page":"1-13","title":"Problem-based learning (PBL) in music teacher education","type":"article-journal"},"uris":["http://www.mendeley.com/documents/?uuid=cf3712c6-df04-4f1b-968d-5fca98721dac"]}],"mendeley":{"formattedCitation":"[54]","plainTextFormattedCitation":"[54]","previouslyFormattedCitation":"[54]"},"properties":{"noteIndex":0},"schema":"https://github.com/citation-style-language/schema/raw/master/csl-citation.json"}</w:instrText>
      </w:r>
      <w:r w:rsidR="001100ED">
        <w:rPr>
          <w:color w:val="000000" w:themeColor="text1"/>
        </w:rPr>
        <w:fldChar w:fldCharType="separate"/>
      </w:r>
      <w:r w:rsidR="001100ED" w:rsidRPr="001100ED">
        <w:rPr>
          <w:noProof/>
          <w:color w:val="000000" w:themeColor="text1"/>
        </w:rPr>
        <w:t>[54]</w:t>
      </w:r>
      <w:r w:rsidR="001100ED">
        <w:rPr>
          <w:color w:val="000000" w:themeColor="text1"/>
        </w:rPr>
        <w:fldChar w:fldCharType="end"/>
      </w:r>
      <w:r w:rsidR="001100ED">
        <w:rPr>
          <w:color w:val="000000" w:themeColor="text1"/>
        </w:rPr>
        <w:t xml:space="preserve">. </w:t>
      </w:r>
    </w:p>
    <w:p w14:paraId="0D339A14" w14:textId="4CD75BA5" w:rsidR="00F913D6" w:rsidRDefault="004C584E" w:rsidP="004C584E">
      <w:pPr>
        <w:ind w:firstLine="709"/>
        <w:jc w:val="both"/>
        <w:rPr>
          <w:color w:val="000000" w:themeColor="text1"/>
        </w:rPr>
      </w:pPr>
      <w:r w:rsidRPr="004C584E">
        <w:rPr>
          <w:color w:val="000000" w:themeColor="text1"/>
        </w:rPr>
        <w:t>Metacognitive awareness is one of the key competencies in the learning process in the 21st century because it can generate good ideas and solutions in the learning process</w:t>
      </w:r>
      <w:r w:rsidR="001100ED">
        <w:rPr>
          <w:color w:val="000000" w:themeColor="text1"/>
        </w:rPr>
        <w:t xml:space="preserve"> </w:t>
      </w:r>
      <w:r w:rsidRPr="004C584E">
        <w:rPr>
          <w:color w:val="000000" w:themeColor="text1"/>
        </w:rPr>
        <w:fldChar w:fldCharType="begin" w:fldLock="1"/>
      </w:r>
      <w:r w:rsidR="001100ED">
        <w:rPr>
          <w:color w:val="000000" w:themeColor="text1"/>
        </w:rPr>
        <w:instrText>ADDIN CSL_CITATION {"citationItems":[{"id":"ITEM-1","itemData":{"DOI":"10.1007/s41465-016-0002-3","ISSN":"2509-3290","abstract":"Creative thinking skills can be considered one of the key competencies for the twenty-first century-they allow us to remain flexible and provide us with the capacity to deal with the opportunities and challenges that are part of our complex and fast-changing world. The increased focus on innovation combined with recent reports of decrements in creative performance brings attention to the need to develop creative thinking skills at both the educational and business levels. The main objective of the current project was to develop and scientifically test a brief, domain-unspecific creativity training. Undergraduate university students (N = 32) participated in the creativity training, which was a single session of 1.5 h and employed a cognitive approach (i.e., participants were shown how to apply creative thinking techniques in a systematic fashion). The effectiveness of the training was tested by means of a pre-and post-training comparison employing creativity measures that relied on divergent thinking, convergent thinking , and creative problem solving skills. To control for a possible instrumentation threat, two versions of each task were created and counterbalanced between the pre-and post-measure across participants. Following the creativity training, improvements were observed across a variety of creative performance measures. Importantly, the creativity level of the ideas generated during the divergent thinking task improved post-training. Moreover, the findings of the current study shed light on a possible underlying mechanism for these improvements in creativity, that is, cognitive flexibility. In addition to these divergent thinking skills, the training also improved convergent thinking and produced marginal improvements in creative problem solving skills. The current findings have important implications for educational and organizational settings, as they suggest that this brief creativity training (or one employing similar cognitive techniques) could be implemented to facilitate creative thinking skills.","author":[{"dropping-particle":"","family":"Ritter","given":"Simone M.","non-dropping-particle":"","parse-names":false,"suffix":""},{"dropping-particle":"","family":"Mostert","given":"Nel","non-dropping-particle":"","parse-names":false,"suffix":""}],"container-title":"Journal of Cognitive Enhancement","id":"ITEM-1","issue":"3","issued":{"date-parts":[["2017"]]},"page":"243-253","publisher":"Journal of Cognitive Enhancement","title":"Enhancement of Creative Thinking Skills Using a Cognitive-Based Creativity Training","type":"article-journal","volume":"1"},"uris":["http://www.mendeley.com/documents/?uuid=0b98df1e-3e08-480f-bbba-a14bc7b92775"]}],"mendeley":{"formattedCitation":"[55]","plainTextFormattedCitation":"[55]","previouslyFormattedCitation":"[55]"},"properties":{"noteIndex":0},"schema":"https://github.com/citation-style-language/schema/raw/master/csl-citation.json"}</w:instrText>
      </w:r>
      <w:r w:rsidRPr="004C584E">
        <w:rPr>
          <w:color w:val="000000" w:themeColor="text1"/>
        </w:rPr>
        <w:fldChar w:fldCharType="separate"/>
      </w:r>
      <w:r w:rsidR="001100ED" w:rsidRPr="001100ED">
        <w:rPr>
          <w:noProof/>
          <w:color w:val="000000" w:themeColor="text1"/>
        </w:rPr>
        <w:t>[55]</w:t>
      </w:r>
      <w:r w:rsidRPr="004C584E">
        <w:rPr>
          <w:color w:val="000000" w:themeColor="text1"/>
        </w:rPr>
        <w:fldChar w:fldCharType="end"/>
      </w:r>
      <w:r w:rsidRPr="004C584E">
        <w:t>.</w:t>
      </w:r>
      <w:r w:rsidRPr="004C584E">
        <w:rPr>
          <w:color w:val="000000" w:themeColor="text1"/>
        </w:rPr>
        <w:t xml:space="preserve"> Lecturers as designers should be able to design or design all learning activities well so that students also feel challenged in encouraging critical and innovative thinking in learning. Still, the most important thing is awareness in understanding learning so that they can make planning, action, monitoring, and evaluation to repeat the same learning cycle. Thus, occasionally, there must be improvements and increases in metacognitive awareness and critical thinking skills in solving problems and making the best decisions.</w:t>
      </w:r>
    </w:p>
    <w:p w14:paraId="5D8ED0E3" w14:textId="77777777" w:rsidR="00C21CC2" w:rsidRPr="004C584E" w:rsidRDefault="00C21CC2" w:rsidP="004C584E">
      <w:pPr>
        <w:ind w:firstLine="709"/>
        <w:jc w:val="both"/>
      </w:pPr>
    </w:p>
    <w:p w14:paraId="0FAA9B4E" w14:textId="0B8F7357" w:rsidR="00F913D6" w:rsidRDefault="00322DA9" w:rsidP="00322DA9">
      <w:pPr>
        <w:tabs>
          <w:tab w:val="left" w:pos="426"/>
        </w:tabs>
        <w:ind w:left="360" w:hanging="360"/>
        <w:rPr>
          <w:b/>
          <w:bCs/>
          <w:lang w:val="id-ID"/>
        </w:rPr>
      </w:pPr>
      <w:r>
        <w:rPr>
          <w:b/>
          <w:bCs/>
        </w:rPr>
        <w:t xml:space="preserve">4.  </w:t>
      </w:r>
      <w:r w:rsidR="00F913D6">
        <w:rPr>
          <w:b/>
          <w:bCs/>
          <w:lang w:val="id-ID"/>
        </w:rPr>
        <w:t>CONCLUSION</w:t>
      </w:r>
    </w:p>
    <w:p w14:paraId="0C33AF88" w14:textId="7A9479E4" w:rsidR="004C584E" w:rsidRPr="004C584E" w:rsidRDefault="004C584E" w:rsidP="004C584E">
      <w:pPr>
        <w:ind w:firstLine="709"/>
        <w:jc w:val="both"/>
      </w:pPr>
      <w:r w:rsidRPr="004C584E">
        <w:t xml:space="preserve">Based on the results of the research and discussion that has been carried out, it can be formulated that the learning model affects students' metacognitive awareness and critical thinking skills. The PBLRQA learning model significantly influences the metacognitive awareness of PGSD FKIP (Elementary School Teacher Education, Faculty of Teacher Training and Education) </w:t>
      </w:r>
      <w:proofErr w:type="spellStart"/>
      <w:r w:rsidRPr="004C584E">
        <w:t>Pattimura</w:t>
      </w:r>
      <w:proofErr w:type="spellEnd"/>
      <w:r w:rsidRPr="004C584E">
        <w:t xml:space="preserve"> University students. </w:t>
      </w:r>
      <w:r w:rsidRPr="004C584E">
        <w:rPr>
          <w:lang w:val="fi-FI"/>
        </w:rPr>
        <w:t xml:space="preserve">Based on the conclusions </w:t>
      </w:r>
      <w:r w:rsidRPr="004C584E">
        <w:t xml:space="preserve">of </w:t>
      </w:r>
      <w:r w:rsidRPr="004C584E">
        <w:rPr>
          <w:lang w:val="fi-FI"/>
        </w:rPr>
        <w:t>this study, several suggestions can be made related to the findings of this study, including:</w:t>
      </w:r>
      <w:r w:rsidRPr="004C584E">
        <w:t xml:space="preserve"> 1) </w:t>
      </w:r>
      <w:r w:rsidRPr="004C584E">
        <w:rPr>
          <w:lang w:val="fi-FI"/>
        </w:rPr>
        <w:t xml:space="preserve">For </w:t>
      </w:r>
      <w:r w:rsidRPr="004C584E">
        <w:t>lecturers</w:t>
      </w:r>
      <w:r w:rsidRPr="004C584E">
        <w:rPr>
          <w:lang w:val="fi-FI"/>
        </w:rPr>
        <w:t xml:space="preserve">, the findings of this study reveal that the </w:t>
      </w:r>
      <w:r w:rsidRPr="004C584E">
        <w:t xml:space="preserve">PBLRQA </w:t>
      </w:r>
      <w:r w:rsidRPr="004C584E">
        <w:rPr>
          <w:lang w:val="fi-FI"/>
        </w:rPr>
        <w:t xml:space="preserve">learning </w:t>
      </w:r>
      <w:r w:rsidRPr="004C584E">
        <w:t xml:space="preserve">model has the potential to </w:t>
      </w:r>
      <w:r w:rsidRPr="004C584E">
        <w:rPr>
          <w:lang w:val="fi-FI"/>
        </w:rPr>
        <w:t xml:space="preserve">empower </w:t>
      </w:r>
      <w:r w:rsidRPr="004C584E">
        <w:t xml:space="preserve">metacognitive awareness so that it is suitable to be </w:t>
      </w:r>
      <w:r w:rsidRPr="004C584E">
        <w:rPr>
          <w:lang w:val="fi-FI"/>
        </w:rPr>
        <w:t xml:space="preserve">applied to </w:t>
      </w:r>
      <w:r w:rsidRPr="004C584E">
        <w:t>learning at the college level as well as at other levels</w:t>
      </w:r>
      <w:r w:rsidRPr="004C584E">
        <w:rPr>
          <w:lang w:val="fi-FI"/>
        </w:rPr>
        <w:t>.</w:t>
      </w:r>
      <w:r w:rsidRPr="004C584E">
        <w:t xml:space="preserve"> 2) </w:t>
      </w:r>
      <w:r w:rsidRPr="004C584E">
        <w:rPr>
          <w:lang w:val="fi-FI"/>
        </w:rPr>
        <w:t xml:space="preserve">It is necessary to </w:t>
      </w:r>
      <w:r w:rsidRPr="004C584E">
        <w:t xml:space="preserve">disseminate information on </w:t>
      </w:r>
      <w:proofErr w:type="spellStart"/>
      <w:r w:rsidRPr="004C584E">
        <w:t>th</w:t>
      </w:r>
      <w:proofErr w:type="spellEnd"/>
      <w:r w:rsidRPr="004C584E">
        <w:rPr>
          <w:lang w:val="fi-FI"/>
        </w:rPr>
        <w:t xml:space="preserve">is study's findings by introducing the </w:t>
      </w:r>
      <w:r w:rsidRPr="004C584E">
        <w:t xml:space="preserve">PBLRQA learning model </w:t>
      </w:r>
      <w:r w:rsidRPr="004C584E">
        <w:rPr>
          <w:lang w:val="fi-FI"/>
        </w:rPr>
        <w:t xml:space="preserve">because it has been proven effective in increasing </w:t>
      </w:r>
      <w:r w:rsidRPr="004C584E">
        <w:t>students' metacognitive awareness.</w:t>
      </w:r>
    </w:p>
    <w:p w14:paraId="73A55250" w14:textId="49458CB4" w:rsidR="00F913D6" w:rsidRPr="004C584E" w:rsidRDefault="00F913D6" w:rsidP="004C584E">
      <w:pPr>
        <w:ind w:firstLine="720"/>
        <w:jc w:val="both"/>
        <w:rPr>
          <w:bCs/>
        </w:rPr>
      </w:pPr>
    </w:p>
    <w:p w14:paraId="1AF34421" w14:textId="73D26F9C" w:rsidR="00F913D6" w:rsidRDefault="00F913D6" w:rsidP="00F913D6">
      <w:pPr>
        <w:rPr>
          <w:rStyle w:val="apple-style-span"/>
          <w:b/>
          <w:color w:val="000000"/>
          <w:lang w:val="pt-BR"/>
        </w:rPr>
      </w:pPr>
      <w:r>
        <w:rPr>
          <w:rStyle w:val="apple-style-span"/>
          <w:b/>
          <w:color w:val="000000"/>
          <w:lang w:val="pt-BR"/>
        </w:rPr>
        <w:t xml:space="preserve">REFERENCES </w:t>
      </w:r>
    </w:p>
    <w:p w14:paraId="6D37689D" w14:textId="77777777" w:rsidR="00C21CC2" w:rsidRDefault="00C21CC2" w:rsidP="00F913D6">
      <w:pPr>
        <w:rPr>
          <w:color w:val="000000"/>
          <w:lang w:val="pt-BR"/>
        </w:rPr>
      </w:pPr>
    </w:p>
    <w:p w14:paraId="167597E5" w14:textId="366E88E8" w:rsidR="0060109B" w:rsidRPr="0060109B" w:rsidRDefault="00C21CC2" w:rsidP="009376EA">
      <w:pPr>
        <w:widowControl w:val="0"/>
        <w:autoSpaceDE w:val="0"/>
        <w:autoSpaceDN w:val="0"/>
        <w:adjustRightInd w:val="0"/>
        <w:ind w:left="640" w:hanging="640"/>
        <w:jc w:val="both"/>
        <w:rPr>
          <w:noProof/>
          <w:sz w:val="18"/>
          <w:szCs w:val="24"/>
        </w:rPr>
      </w:pPr>
      <w:r>
        <w:rPr>
          <w:color w:val="000000"/>
          <w:sz w:val="18"/>
          <w:szCs w:val="18"/>
        </w:rPr>
        <w:fldChar w:fldCharType="begin" w:fldLock="1"/>
      </w:r>
      <w:r>
        <w:rPr>
          <w:color w:val="000000"/>
          <w:sz w:val="18"/>
          <w:szCs w:val="18"/>
        </w:rPr>
        <w:instrText xml:space="preserve">ADDIN Mendeley Bibliography CSL_BIBLIOGRAPHY </w:instrText>
      </w:r>
      <w:r>
        <w:rPr>
          <w:color w:val="000000"/>
          <w:sz w:val="18"/>
          <w:szCs w:val="18"/>
        </w:rPr>
        <w:fldChar w:fldCharType="separate"/>
      </w:r>
      <w:r w:rsidR="0060109B" w:rsidRPr="0060109B">
        <w:rPr>
          <w:noProof/>
          <w:sz w:val="18"/>
          <w:szCs w:val="24"/>
        </w:rPr>
        <w:t>[1]</w:t>
      </w:r>
      <w:r w:rsidR="0060109B" w:rsidRPr="0060109B">
        <w:rPr>
          <w:noProof/>
          <w:sz w:val="18"/>
          <w:szCs w:val="24"/>
        </w:rPr>
        <w:tab/>
        <w:t xml:space="preserve">M. Schneider and F. Preckel, “Variables associated with achievement in higher education: A systematic review of meta-analyses,” </w:t>
      </w:r>
      <w:r w:rsidR="0060109B" w:rsidRPr="0060109B">
        <w:rPr>
          <w:i/>
          <w:iCs/>
          <w:noProof/>
          <w:sz w:val="18"/>
          <w:szCs w:val="24"/>
        </w:rPr>
        <w:t>Psychol. Bull.</w:t>
      </w:r>
      <w:r w:rsidR="0060109B" w:rsidRPr="0060109B">
        <w:rPr>
          <w:noProof/>
          <w:sz w:val="18"/>
          <w:szCs w:val="24"/>
        </w:rPr>
        <w:t>, vol. 143, no. 6, pp. 565–600, 2017, doi: 10.1037/bul0000098.</w:t>
      </w:r>
    </w:p>
    <w:p w14:paraId="3850F1CD"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w:t>
      </w:r>
      <w:r w:rsidRPr="0060109B">
        <w:rPr>
          <w:noProof/>
          <w:sz w:val="18"/>
          <w:szCs w:val="24"/>
        </w:rPr>
        <w:tab/>
        <w:t xml:space="preserve">R. Delahaij and K. van Dam, “Coping style development: The role of learning goal orientation and metacognitive awareness,” </w:t>
      </w:r>
      <w:r w:rsidRPr="0060109B">
        <w:rPr>
          <w:i/>
          <w:iCs/>
          <w:noProof/>
          <w:sz w:val="18"/>
          <w:szCs w:val="24"/>
        </w:rPr>
        <w:t>Pers. Individ. Dif.</w:t>
      </w:r>
      <w:r w:rsidRPr="0060109B">
        <w:rPr>
          <w:noProof/>
          <w:sz w:val="18"/>
          <w:szCs w:val="24"/>
        </w:rPr>
        <w:t>, vol. 92, pp. 57–62, 2016, doi: 10.1016/j.paid.2015.12.012.</w:t>
      </w:r>
    </w:p>
    <w:p w14:paraId="14591580"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w:t>
      </w:r>
      <w:r w:rsidRPr="0060109B">
        <w:rPr>
          <w:noProof/>
          <w:sz w:val="18"/>
          <w:szCs w:val="24"/>
        </w:rPr>
        <w:tab/>
        <w:t xml:space="preserve">M. V. J. Veenman, B. H. A. M. Van Hout-Wolters, and P. Afflerbach, “Metacognition and learning: Conceptual and methodological considerations,” </w:t>
      </w:r>
      <w:r w:rsidRPr="0060109B">
        <w:rPr>
          <w:i/>
          <w:iCs/>
          <w:noProof/>
          <w:sz w:val="18"/>
          <w:szCs w:val="24"/>
        </w:rPr>
        <w:t>Metacognition Learn.</w:t>
      </w:r>
      <w:r w:rsidRPr="0060109B">
        <w:rPr>
          <w:noProof/>
          <w:sz w:val="18"/>
          <w:szCs w:val="24"/>
        </w:rPr>
        <w:t>, vol. 1, no. 1, pp. 3–14, 2006, doi: 10.1007/s11409-006-6893-0.</w:t>
      </w:r>
    </w:p>
    <w:p w14:paraId="389A82AD"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w:t>
      </w:r>
      <w:r w:rsidRPr="0060109B">
        <w:rPr>
          <w:noProof/>
          <w:sz w:val="18"/>
          <w:szCs w:val="24"/>
        </w:rPr>
        <w:tab/>
        <w:t xml:space="preserve">M. F. Teng, C. Qin, and C. Wang, “Validation of metacognitive academic writing strategies and the predictive effects on academic writing performance in a foreign language context,” </w:t>
      </w:r>
      <w:r w:rsidRPr="0060109B">
        <w:rPr>
          <w:i/>
          <w:iCs/>
          <w:noProof/>
          <w:sz w:val="18"/>
          <w:szCs w:val="24"/>
        </w:rPr>
        <w:t>Metacognition Learn.</w:t>
      </w:r>
      <w:r w:rsidRPr="0060109B">
        <w:rPr>
          <w:noProof/>
          <w:sz w:val="18"/>
          <w:szCs w:val="24"/>
        </w:rPr>
        <w:t>, vol. 17, no. 1, pp. 167–190, 2022, doi: 10.1007/s11409-021-09278-4.</w:t>
      </w:r>
    </w:p>
    <w:p w14:paraId="1A940303"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[5]</w:t>
      </w:r>
      <w:r w:rsidRPr="0060109B">
        <w:rPr>
          <w:noProof/>
          <w:sz w:val="18"/>
          <w:szCs w:val="24"/>
        </w:rPr>
        <w:tab/>
        <w:t xml:space="preserve">S. K. Negi, Y. Rajkumari, and M. Rana, “A deep dive into metacognition: Insightful tool for moral reasoning and emotional maturity,” </w:t>
      </w:r>
      <w:r w:rsidRPr="0060109B">
        <w:rPr>
          <w:i/>
          <w:iCs/>
          <w:noProof/>
          <w:sz w:val="18"/>
          <w:szCs w:val="24"/>
        </w:rPr>
        <w:t>Neurosci. Informatics</w:t>
      </w:r>
      <w:r w:rsidRPr="0060109B">
        <w:rPr>
          <w:noProof/>
          <w:sz w:val="18"/>
          <w:szCs w:val="24"/>
        </w:rPr>
        <w:t>, vol. 2, no. 4, p. 100096, 2022, doi: 10.1016/j.neuri.2022.100096.</w:t>
      </w:r>
    </w:p>
    <w:p w14:paraId="3B444D9A"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[6]</w:t>
      </w:r>
      <w:r w:rsidRPr="0060109B">
        <w:rPr>
          <w:noProof/>
          <w:sz w:val="18"/>
          <w:szCs w:val="24"/>
        </w:rPr>
        <w:tab/>
        <w:t xml:space="preserve">A. S. Donker, H. de Boer, D. Kostons, C. C. Dignath van Ewijk, and M. P. C. van der Werf, “Effectiveness of learning strategy instruction on academic performance: A meta-analysis,” </w:t>
      </w:r>
      <w:r w:rsidRPr="0060109B">
        <w:rPr>
          <w:i/>
          <w:iCs/>
          <w:noProof/>
          <w:sz w:val="18"/>
          <w:szCs w:val="24"/>
        </w:rPr>
        <w:t>Educ. Res. Rev.</w:t>
      </w:r>
      <w:r w:rsidRPr="0060109B">
        <w:rPr>
          <w:noProof/>
          <w:sz w:val="18"/>
          <w:szCs w:val="24"/>
        </w:rPr>
        <w:t>, vol. 11, pp. 1–26, 2014, doi: 10.1016/j.edurev.2013.11.002.</w:t>
      </w:r>
    </w:p>
    <w:p w14:paraId="4661D9AC"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[7]</w:t>
      </w:r>
      <w:r w:rsidRPr="0060109B">
        <w:rPr>
          <w:noProof/>
          <w:sz w:val="18"/>
          <w:szCs w:val="24"/>
        </w:rPr>
        <w:tab/>
        <w:t xml:space="preserve">S. Martin and J. Del-Monte, “Metacognition and insight dynamics exploration in borderline personality disorder: Exploring the underlying dynamics,” </w:t>
      </w:r>
      <w:r w:rsidRPr="0060109B">
        <w:rPr>
          <w:i/>
          <w:iCs/>
          <w:noProof/>
          <w:sz w:val="18"/>
          <w:szCs w:val="24"/>
        </w:rPr>
        <w:t>J. Psychiatr. Res.</w:t>
      </w:r>
      <w:r w:rsidRPr="0060109B">
        <w:rPr>
          <w:noProof/>
          <w:sz w:val="18"/>
          <w:szCs w:val="24"/>
        </w:rPr>
        <w:t>, vol. 160, pp. 225–231, 2023, doi: 10.1016/j.jpsychires.2023.02.023.</w:t>
      </w:r>
    </w:p>
    <w:p w14:paraId="32E87553"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[8]</w:t>
      </w:r>
      <w:r w:rsidRPr="0060109B">
        <w:rPr>
          <w:noProof/>
          <w:sz w:val="18"/>
          <w:szCs w:val="24"/>
        </w:rPr>
        <w:tab/>
        <w:t xml:space="preserve">D. Muijs, L. Kyriakides, G. van der Werf, B. Creemers, H. Timperley, and L. Earl, “State of the art - teacher effectiveness and professional learning,” </w:t>
      </w:r>
      <w:r w:rsidRPr="0060109B">
        <w:rPr>
          <w:i/>
          <w:iCs/>
          <w:noProof/>
          <w:sz w:val="18"/>
          <w:szCs w:val="24"/>
        </w:rPr>
        <w:t>Sch. Eff. Sch. Improv.</w:t>
      </w:r>
      <w:r w:rsidRPr="0060109B">
        <w:rPr>
          <w:noProof/>
          <w:sz w:val="18"/>
          <w:szCs w:val="24"/>
        </w:rPr>
        <w:t>, vol. 25, no. 2, pp. 231–256, 2014, doi: 10.1080/09243453.2014.885451.</w:t>
      </w:r>
    </w:p>
    <w:p w14:paraId="1AE9C2D4"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[9]</w:t>
      </w:r>
      <w:r w:rsidRPr="0060109B">
        <w:rPr>
          <w:noProof/>
          <w:sz w:val="18"/>
          <w:szCs w:val="24"/>
        </w:rPr>
        <w:tab/>
        <w:t xml:space="preserve">J. H. FLAVELL, “Metacognition and Cognitive Monitoring A New Area of Cognitive—Developmental Inquiry,” </w:t>
      </w:r>
      <w:r w:rsidRPr="0060109B">
        <w:rPr>
          <w:i/>
          <w:iCs/>
          <w:noProof/>
          <w:sz w:val="18"/>
          <w:szCs w:val="24"/>
        </w:rPr>
        <w:t>Am. Psychol.</w:t>
      </w:r>
      <w:r w:rsidRPr="0060109B">
        <w:rPr>
          <w:noProof/>
          <w:sz w:val="18"/>
          <w:szCs w:val="24"/>
        </w:rPr>
        <w:t>, vol. 34, no. 10, pp. 906–911, 1979, doi: 10.1093/nq/CLVII.dec14.424-a.</w:t>
      </w:r>
    </w:p>
    <w:p w14:paraId="14E3F20B"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[10]</w:t>
      </w:r>
      <w:r w:rsidRPr="0060109B">
        <w:rPr>
          <w:noProof/>
          <w:sz w:val="18"/>
          <w:szCs w:val="24"/>
        </w:rPr>
        <w:tab/>
        <w:t xml:space="preserve">J. D. Stanton, A. J. Sebesta, and J. Dunlosky, “Fostering metacognition to support student learning and performance,” </w:t>
      </w:r>
      <w:r w:rsidRPr="0060109B">
        <w:rPr>
          <w:i/>
          <w:iCs/>
          <w:noProof/>
          <w:sz w:val="18"/>
          <w:szCs w:val="24"/>
        </w:rPr>
        <w:t>CBE Life Sci. Educ.</w:t>
      </w:r>
      <w:r w:rsidRPr="0060109B">
        <w:rPr>
          <w:noProof/>
          <w:sz w:val="18"/>
          <w:szCs w:val="24"/>
        </w:rPr>
        <w:t>, vol. 20, no. 2, pp. 1–7, 2021, doi: 10.1187/cbe.20-12-0289.</w:t>
      </w:r>
    </w:p>
    <w:p w14:paraId="07C95E3A"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[11]</w:t>
      </w:r>
      <w:r w:rsidRPr="0060109B">
        <w:rPr>
          <w:noProof/>
          <w:sz w:val="18"/>
          <w:szCs w:val="24"/>
        </w:rPr>
        <w:tab/>
        <w:t xml:space="preserve">K. D. Tanner, “Promoting student metacognition.,” </w:t>
      </w:r>
      <w:r w:rsidRPr="0060109B">
        <w:rPr>
          <w:i/>
          <w:iCs/>
          <w:noProof/>
          <w:sz w:val="18"/>
          <w:szCs w:val="24"/>
        </w:rPr>
        <w:t>CBE Life Sci. Educ.</w:t>
      </w:r>
      <w:r w:rsidRPr="0060109B">
        <w:rPr>
          <w:noProof/>
          <w:sz w:val="18"/>
          <w:szCs w:val="24"/>
        </w:rPr>
        <w:t>, vol. 11, no. 2, pp. 113–120, 2012, doi: 10.1187/cbe.12-03-0033.</w:t>
      </w:r>
    </w:p>
    <w:p w14:paraId="53307C75"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[12]</w:t>
      </w:r>
      <w:r w:rsidRPr="0060109B">
        <w:rPr>
          <w:noProof/>
          <w:sz w:val="18"/>
          <w:szCs w:val="24"/>
        </w:rPr>
        <w:tab/>
        <w:t xml:space="preserve">S. M. Halmo, E. K. Bremers, S. Fuller, and J. D. Stanton, “‘Oh, that makes sense’: Social Metacognition in Small-Group Problem Solving,” </w:t>
      </w:r>
      <w:r w:rsidRPr="0060109B">
        <w:rPr>
          <w:i/>
          <w:iCs/>
          <w:noProof/>
          <w:sz w:val="18"/>
          <w:szCs w:val="24"/>
        </w:rPr>
        <w:t>CBE Life Sci. Educ.</w:t>
      </w:r>
      <w:r w:rsidRPr="0060109B">
        <w:rPr>
          <w:noProof/>
          <w:sz w:val="18"/>
          <w:szCs w:val="24"/>
        </w:rPr>
        <w:t>, vol. 21, no. 3, pp. 1–20, 2022, doi: 10.1187/cbe.22-01-0009.</w:t>
      </w:r>
    </w:p>
    <w:p w14:paraId="062386D9"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[13]</w:t>
      </w:r>
      <w:r w:rsidRPr="0060109B">
        <w:rPr>
          <w:noProof/>
          <w:sz w:val="18"/>
          <w:szCs w:val="24"/>
        </w:rPr>
        <w:tab/>
        <w:t xml:space="preserve">A. Siegesmund, “Increasing Student Metacognition and Learning through Classroom-Based Learning Communities and Self-Assessment,” </w:t>
      </w:r>
      <w:r w:rsidRPr="0060109B">
        <w:rPr>
          <w:i/>
          <w:iCs/>
          <w:noProof/>
          <w:sz w:val="18"/>
          <w:szCs w:val="24"/>
        </w:rPr>
        <w:t>J. Microbiol. Biol. Educ.</w:t>
      </w:r>
      <w:r w:rsidRPr="0060109B">
        <w:rPr>
          <w:noProof/>
          <w:sz w:val="18"/>
          <w:szCs w:val="24"/>
        </w:rPr>
        <w:t>, vol. 17, no. 2, pp. 204–214, 2016, doi: 10.1128/jmbe.v17i2.954.</w:t>
      </w:r>
    </w:p>
    <w:p w14:paraId="1BF8ED5B"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[14]</w:t>
      </w:r>
      <w:r w:rsidRPr="0060109B">
        <w:rPr>
          <w:noProof/>
          <w:sz w:val="18"/>
          <w:szCs w:val="24"/>
        </w:rPr>
        <w:tab/>
        <w:t xml:space="preserve">J. I. Ebomoyi, “Metacognition and Peer Learning Strategies as Predictors in Problem-Solving Performance in Microbiology,” </w:t>
      </w:r>
      <w:r w:rsidRPr="0060109B">
        <w:rPr>
          <w:i/>
          <w:iCs/>
          <w:noProof/>
          <w:sz w:val="18"/>
          <w:szCs w:val="24"/>
        </w:rPr>
        <w:t>J. Microbiol. Biol. Educ.</w:t>
      </w:r>
      <w:r w:rsidRPr="0060109B">
        <w:rPr>
          <w:noProof/>
          <w:sz w:val="18"/>
          <w:szCs w:val="24"/>
        </w:rPr>
        <w:t>, vol. 21, no. 1, pp. 1–9, 2020, doi: 10.1128/jmbe.v21i1.1715.</w:t>
      </w:r>
    </w:p>
    <w:p w14:paraId="37B66A37"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[15]</w:t>
      </w:r>
      <w:r w:rsidRPr="0060109B">
        <w:rPr>
          <w:noProof/>
          <w:sz w:val="18"/>
          <w:szCs w:val="24"/>
        </w:rPr>
        <w:tab/>
        <w:t xml:space="preserve">J. A. Cardinale and B. C. Johnson, “Metacognition Modules: A Scaffolded Series of Online Assignments Designed to Improve Students’ Study Skills,” </w:t>
      </w:r>
      <w:r w:rsidRPr="0060109B">
        <w:rPr>
          <w:i/>
          <w:iCs/>
          <w:noProof/>
          <w:sz w:val="18"/>
          <w:szCs w:val="24"/>
        </w:rPr>
        <w:t>J. Microbiol. Biol. Educ.</w:t>
      </w:r>
      <w:r w:rsidRPr="0060109B">
        <w:rPr>
          <w:noProof/>
          <w:sz w:val="18"/>
          <w:szCs w:val="24"/>
        </w:rPr>
        <w:t>, vol. 18, no. 1, pp. 1–8, 2017, doi: 10.1128/jmbe.v18i1.1212.</w:t>
      </w:r>
    </w:p>
    <w:p w14:paraId="6C15959F"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[16]</w:t>
      </w:r>
      <w:r w:rsidRPr="0060109B">
        <w:rPr>
          <w:noProof/>
          <w:sz w:val="18"/>
          <w:szCs w:val="24"/>
        </w:rPr>
        <w:tab/>
        <w:t xml:space="preserve">C. D. Zepeda, J. Elizabeth Richey, P. Ronevich, and T. J. Nokes-Malach, “Direct instruction of metacognition benefits adolescent science learning, transfer, and motivation: An in vivo study,” </w:t>
      </w:r>
      <w:r w:rsidRPr="0060109B">
        <w:rPr>
          <w:i/>
          <w:iCs/>
          <w:noProof/>
          <w:sz w:val="18"/>
          <w:szCs w:val="24"/>
        </w:rPr>
        <w:t>J. Educ. Psychol.</w:t>
      </w:r>
      <w:r w:rsidRPr="0060109B">
        <w:rPr>
          <w:noProof/>
          <w:sz w:val="18"/>
          <w:szCs w:val="24"/>
        </w:rPr>
        <w:t>, vol. 107, no. 4, pp. 954–970, 2015, doi: 10.1037/edu0000022.</w:t>
      </w:r>
    </w:p>
    <w:p w14:paraId="1319E635"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[17]</w:t>
      </w:r>
      <w:r w:rsidRPr="0060109B">
        <w:rPr>
          <w:noProof/>
          <w:sz w:val="18"/>
          <w:szCs w:val="24"/>
        </w:rPr>
        <w:tab/>
        <w:t xml:space="preserve">S. Vemu, H. Basta, and D. C. Cole, “Histology Personal Trainer: Identifying Tissue Types Using Critical Thinking and Metacognition Prompts,” </w:t>
      </w:r>
      <w:r w:rsidRPr="0060109B">
        <w:rPr>
          <w:i/>
          <w:iCs/>
          <w:noProof/>
          <w:sz w:val="18"/>
          <w:szCs w:val="24"/>
        </w:rPr>
        <w:t>J. Microbiol. Biol. Educ.</w:t>
      </w:r>
      <w:r w:rsidRPr="0060109B">
        <w:rPr>
          <w:noProof/>
          <w:sz w:val="18"/>
          <w:szCs w:val="24"/>
        </w:rPr>
        <w:t>, vol. 20, no. 2, pp. 1–3, 2019, doi: 10.1128/jmbe.v20i2.1791.</w:t>
      </w:r>
    </w:p>
    <w:p w14:paraId="63A132E1"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[18]</w:t>
      </w:r>
      <w:r w:rsidRPr="0060109B">
        <w:rPr>
          <w:noProof/>
          <w:sz w:val="18"/>
          <w:szCs w:val="24"/>
        </w:rPr>
        <w:tab/>
        <w:t xml:space="preserve">N. V. Dang, J. C. Chiang, H. M. Brown, and K. K. McDonald, “Curricular Activities that Promote Metacognitive Skills Impact Lower-Performing Students in an Introductory Biology Course,” </w:t>
      </w:r>
      <w:r w:rsidRPr="0060109B">
        <w:rPr>
          <w:i/>
          <w:iCs/>
          <w:noProof/>
          <w:sz w:val="18"/>
          <w:szCs w:val="24"/>
        </w:rPr>
        <w:t>J. Microbiol. Biol. Educ.</w:t>
      </w:r>
      <w:r w:rsidRPr="0060109B">
        <w:rPr>
          <w:noProof/>
          <w:sz w:val="18"/>
          <w:szCs w:val="24"/>
        </w:rPr>
        <w:t>, vol. 19, no. 1, pp. 1–9, 2018, doi: 10.1128/jmbe.v19i1.1324.</w:t>
      </w:r>
    </w:p>
    <w:p w14:paraId="3A29C159"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[19]</w:t>
      </w:r>
      <w:r w:rsidRPr="0060109B">
        <w:rPr>
          <w:noProof/>
          <w:sz w:val="18"/>
          <w:szCs w:val="24"/>
        </w:rPr>
        <w:tab/>
        <w:t xml:space="preserve">J. S. Roberts, “Integrating Metacognitive Regulation into the Online Classroom Using Student-Developed Learning Plans,” </w:t>
      </w:r>
      <w:r w:rsidRPr="0060109B">
        <w:rPr>
          <w:i/>
          <w:iCs/>
          <w:noProof/>
          <w:sz w:val="18"/>
          <w:szCs w:val="24"/>
        </w:rPr>
        <w:t>J. Microbiol. Biol. Educ.</w:t>
      </w:r>
      <w:r w:rsidRPr="0060109B">
        <w:rPr>
          <w:noProof/>
          <w:sz w:val="18"/>
          <w:szCs w:val="24"/>
        </w:rPr>
        <w:t>, vol. 22, no. 1, pp. 1–5, 2021, doi: 10.1128/jmbe.v22i1.2409.</w:t>
      </w:r>
    </w:p>
    <w:p w14:paraId="6EEB447A"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[20]</w:t>
      </w:r>
      <w:r w:rsidRPr="0060109B">
        <w:rPr>
          <w:noProof/>
          <w:sz w:val="18"/>
          <w:szCs w:val="24"/>
        </w:rPr>
        <w:tab/>
        <w:t xml:space="preserve">K. M. Hill, V. S. Brözel, and G. A. Heiberger, “Examining the Delivery Modes of Metacognitive Awareness and Active Reading Lessons in a College Nonmajors Introductory Biology Course,” </w:t>
      </w:r>
      <w:r w:rsidRPr="0060109B">
        <w:rPr>
          <w:i/>
          <w:iCs/>
          <w:noProof/>
          <w:sz w:val="18"/>
          <w:szCs w:val="24"/>
        </w:rPr>
        <w:t>J. Microbiol. Biol. Educ.</w:t>
      </w:r>
      <w:r w:rsidRPr="0060109B">
        <w:rPr>
          <w:noProof/>
          <w:sz w:val="18"/>
          <w:szCs w:val="24"/>
        </w:rPr>
        <w:t>, vol. 15, no. 1, pp. 5–12, 2014, doi: 10.1128/jmbe.v15i1.629.</w:t>
      </w:r>
    </w:p>
    <w:p w14:paraId="52AEF1A8"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[21]</w:t>
      </w:r>
      <w:r w:rsidRPr="0060109B">
        <w:rPr>
          <w:noProof/>
          <w:sz w:val="18"/>
          <w:szCs w:val="24"/>
        </w:rPr>
        <w:tab/>
        <w:t xml:space="preserve">T. M. McCabe and J. T. Olimpo, “Advancing Metacognitive Practices in Experimental Design: A Suite of Worksheet-Based Activities To Promote Reflection and Discourse in Laboratory Contexts,” </w:t>
      </w:r>
      <w:r w:rsidRPr="0060109B">
        <w:rPr>
          <w:i/>
          <w:iCs/>
          <w:noProof/>
          <w:sz w:val="18"/>
          <w:szCs w:val="24"/>
        </w:rPr>
        <w:t>J. Microbiol. Biol. Educ.</w:t>
      </w:r>
      <w:r w:rsidRPr="0060109B">
        <w:rPr>
          <w:noProof/>
          <w:sz w:val="18"/>
          <w:szCs w:val="24"/>
        </w:rPr>
        <w:t>, vol. 21, no. 1, pp. 14–16, 2020, doi: 10.1128/jmbe.v21i1.2009.</w:t>
      </w:r>
    </w:p>
    <w:p w14:paraId="1C79A51B"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[22]</w:t>
      </w:r>
      <w:r w:rsidRPr="0060109B">
        <w:rPr>
          <w:noProof/>
          <w:sz w:val="18"/>
          <w:szCs w:val="24"/>
        </w:rPr>
        <w:tab/>
        <w:t xml:space="preserve">J. L. Sabel, J. T. Dauer, and C. T. Forbes, “Introductory biology students’ use of enhanced answer keys and reflection questions to engage in metacognition and enhance understanding,” </w:t>
      </w:r>
      <w:r w:rsidRPr="0060109B">
        <w:rPr>
          <w:i/>
          <w:iCs/>
          <w:noProof/>
          <w:sz w:val="18"/>
          <w:szCs w:val="24"/>
        </w:rPr>
        <w:t>CBE Life Sci. Educ.</w:t>
      </w:r>
      <w:r w:rsidRPr="0060109B">
        <w:rPr>
          <w:noProof/>
          <w:sz w:val="18"/>
          <w:szCs w:val="24"/>
        </w:rPr>
        <w:t>, vol. 16, no. 3, pp. 1–12, 2017, doi: 10.1187/cbe.16-10-0298.</w:t>
      </w:r>
    </w:p>
    <w:p w14:paraId="01BFC5F1"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[23]</w:t>
      </w:r>
      <w:r w:rsidRPr="0060109B">
        <w:rPr>
          <w:noProof/>
          <w:sz w:val="18"/>
          <w:szCs w:val="24"/>
        </w:rPr>
        <w:tab/>
        <w:t xml:space="preserve">M. F. Teng, “Effects of Individual and Group Metacognitive Prompts on Tertiary-Level Students’ Metacognitive Awareness and Writing Outcomes,” </w:t>
      </w:r>
      <w:r w:rsidRPr="0060109B">
        <w:rPr>
          <w:i/>
          <w:iCs/>
          <w:noProof/>
          <w:sz w:val="18"/>
          <w:szCs w:val="24"/>
        </w:rPr>
        <w:t>Asia-Pacific Educ. Res.</w:t>
      </w:r>
      <w:r w:rsidRPr="0060109B">
        <w:rPr>
          <w:noProof/>
          <w:sz w:val="18"/>
          <w:szCs w:val="24"/>
        </w:rPr>
        <w:t>, vol. 31, no. 5, pp. 601–612, 2022, doi: 10.1007/s40299-021-00611-8.</w:t>
      </w:r>
    </w:p>
    <w:p w14:paraId="35196CD1"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lastRenderedPageBreak/>
        <w:t>[24]</w:t>
      </w:r>
      <w:r w:rsidRPr="0060109B">
        <w:rPr>
          <w:noProof/>
          <w:sz w:val="18"/>
          <w:szCs w:val="24"/>
        </w:rPr>
        <w:tab/>
        <w:t xml:space="preserve">E. A. Van Vliet, J. C. Winnips, and N. Brouwer, “Flipped-class pedagogy enhances student metacognition and collaborative-learning strategies in higher education but effect does not persist,” </w:t>
      </w:r>
      <w:r w:rsidRPr="0060109B">
        <w:rPr>
          <w:i/>
          <w:iCs/>
          <w:noProof/>
          <w:sz w:val="18"/>
          <w:szCs w:val="24"/>
        </w:rPr>
        <w:t>CBE Life Sci. Educ.</w:t>
      </w:r>
      <w:r w:rsidRPr="0060109B">
        <w:rPr>
          <w:noProof/>
          <w:sz w:val="18"/>
          <w:szCs w:val="24"/>
        </w:rPr>
        <w:t>, vol. 14, no. 3, pp. 1–10, 2015, doi: 10.1187/cbe.14-09-0141.</w:t>
      </w:r>
    </w:p>
    <w:p w14:paraId="2B706599"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[25]</w:t>
      </w:r>
      <w:r w:rsidRPr="0060109B">
        <w:rPr>
          <w:noProof/>
          <w:sz w:val="18"/>
          <w:szCs w:val="24"/>
        </w:rPr>
        <w:tab/>
        <w:t xml:space="preserve">C. J. Brame, “Effective educational videos: Principles and guidelines for maximizing student learning from video content,” </w:t>
      </w:r>
      <w:r w:rsidRPr="0060109B">
        <w:rPr>
          <w:i/>
          <w:iCs/>
          <w:noProof/>
          <w:sz w:val="18"/>
          <w:szCs w:val="24"/>
        </w:rPr>
        <w:t>CBE Life Sci. Educ.</w:t>
      </w:r>
      <w:r w:rsidRPr="0060109B">
        <w:rPr>
          <w:noProof/>
          <w:sz w:val="18"/>
          <w:szCs w:val="24"/>
        </w:rPr>
        <w:t>, vol. 15, no. 4, pp. 1–6, 2016, doi: 10.1187/cbe.16-03-0125.</w:t>
      </w:r>
    </w:p>
    <w:p w14:paraId="11F656A2"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[26]</w:t>
      </w:r>
      <w:r w:rsidRPr="0060109B">
        <w:rPr>
          <w:noProof/>
          <w:sz w:val="18"/>
          <w:szCs w:val="24"/>
        </w:rPr>
        <w:tab/>
        <w:t xml:space="preserve">K. M. Dye and J. D. Stanton, “Metacognition in upper-division biology students: Awareness does not always lead to control,” </w:t>
      </w:r>
      <w:r w:rsidRPr="0060109B">
        <w:rPr>
          <w:i/>
          <w:iCs/>
          <w:noProof/>
          <w:sz w:val="18"/>
          <w:szCs w:val="24"/>
        </w:rPr>
        <w:t>CBE Life Sci. Educ.</w:t>
      </w:r>
      <w:r w:rsidRPr="0060109B">
        <w:rPr>
          <w:noProof/>
          <w:sz w:val="18"/>
          <w:szCs w:val="24"/>
        </w:rPr>
        <w:t>, vol. 16, no. 2, pp. 1–14, 2017, doi: 10.1187/cbe.16-09-0286.</w:t>
      </w:r>
    </w:p>
    <w:p w14:paraId="3266333C"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[27]</w:t>
      </w:r>
      <w:r w:rsidRPr="0060109B">
        <w:rPr>
          <w:noProof/>
          <w:sz w:val="18"/>
          <w:szCs w:val="24"/>
        </w:rPr>
        <w:tab/>
        <w:t xml:space="preserve">A. T. Pratama, “Improving metacognitive skills using problem based learning (pbl) at natural science of primary school in deli serdang, indonesia,” </w:t>
      </w:r>
      <w:r w:rsidRPr="0060109B">
        <w:rPr>
          <w:i/>
          <w:iCs/>
          <w:noProof/>
          <w:sz w:val="18"/>
          <w:szCs w:val="24"/>
        </w:rPr>
        <w:t>Biosf. J. Pendidik. Biol.</w:t>
      </w:r>
      <w:r w:rsidRPr="0060109B">
        <w:rPr>
          <w:noProof/>
          <w:sz w:val="18"/>
          <w:szCs w:val="24"/>
        </w:rPr>
        <w:t>, vol. 11, no. 2, pp. 101–107, 2018, doi: 10.21009/biosferjpb.v11n2.101-107.</w:t>
      </w:r>
    </w:p>
    <w:p w14:paraId="15C848FC"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[28]</w:t>
      </w:r>
      <w:r w:rsidRPr="0060109B">
        <w:rPr>
          <w:noProof/>
          <w:sz w:val="18"/>
          <w:szCs w:val="24"/>
        </w:rPr>
        <w:tab/>
        <w:t xml:space="preserve">D. Al Awdah, S. Jasmeen, and A. Alexander, “A Quantitative Evaluation of Metacognitive Awareness among Business Administration Students,” </w:t>
      </w:r>
      <w:r w:rsidRPr="0060109B">
        <w:rPr>
          <w:i/>
          <w:iCs/>
          <w:noProof/>
          <w:sz w:val="18"/>
          <w:szCs w:val="24"/>
        </w:rPr>
        <w:t>Arch. Bus. Res.</w:t>
      </w:r>
      <w:r w:rsidRPr="0060109B">
        <w:rPr>
          <w:noProof/>
          <w:sz w:val="18"/>
          <w:szCs w:val="24"/>
        </w:rPr>
        <w:t>, vol. 5, no. 1, pp. 16–25, 2017, doi: 10.14738/abr.51.2565.</w:t>
      </w:r>
    </w:p>
    <w:p w14:paraId="3FA4AA43"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[29]</w:t>
      </w:r>
      <w:r w:rsidRPr="0060109B">
        <w:rPr>
          <w:noProof/>
          <w:sz w:val="18"/>
          <w:szCs w:val="24"/>
        </w:rPr>
        <w:tab/>
        <w:t xml:space="preserve">Z. Ç. Özcan, “The relationship between mathematical problem-solving skills and self-regulated learning through homework behaviours, motivation, and metacognition,” </w:t>
      </w:r>
      <w:r w:rsidRPr="0060109B">
        <w:rPr>
          <w:i/>
          <w:iCs/>
          <w:noProof/>
          <w:sz w:val="18"/>
          <w:szCs w:val="24"/>
        </w:rPr>
        <w:t>Int. J. Math. Educ. Sci. Technol.</w:t>
      </w:r>
      <w:r w:rsidRPr="0060109B">
        <w:rPr>
          <w:noProof/>
          <w:sz w:val="18"/>
          <w:szCs w:val="24"/>
        </w:rPr>
        <w:t>, vol. 47, no. 3, pp. 408–420, 2016, doi: 10.1080/0020739X.2015.1080313.</w:t>
      </w:r>
    </w:p>
    <w:p w14:paraId="2B24A774"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[30]</w:t>
      </w:r>
      <w:r w:rsidRPr="0060109B">
        <w:rPr>
          <w:noProof/>
          <w:sz w:val="18"/>
          <w:szCs w:val="24"/>
        </w:rPr>
        <w:tab/>
        <w:t xml:space="preserve">B. Birgili, “Creative and Critical Thinking Skills in Problem-based Learning Environments,” </w:t>
      </w:r>
      <w:r w:rsidRPr="0060109B">
        <w:rPr>
          <w:i/>
          <w:iCs/>
          <w:noProof/>
          <w:sz w:val="18"/>
          <w:szCs w:val="24"/>
        </w:rPr>
        <w:t>J. Gift. Educ. Creat.</w:t>
      </w:r>
      <w:r w:rsidRPr="0060109B">
        <w:rPr>
          <w:noProof/>
          <w:sz w:val="18"/>
          <w:szCs w:val="24"/>
        </w:rPr>
        <w:t>, vol. 2, no. 2, pp. 71–71, 2015, doi: 10.18200/jgedc.2015214253.</w:t>
      </w:r>
    </w:p>
    <w:p w14:paraId="3838E22F"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[31]</w:t>
      </w:r>
      <w:r w:rsidRPr="0060109B">
        <w:rPr>
          <w:noProof/>
          <w:sz w:val="18"/>
          <w:szCs w:val="24"/>
        </w:rPr>
        <w:tab/>
        <w:t xml:space="preserve">A. S. Argaw, B. B. Haile, B. T. Ayalew, and S. G. Kuma, “The effect of problem based learning (PBL) instruction on students’ motivation and problem solving skills of physics,” </w:t>
      </w:r>
      <w:r w:rsidRPr="0060109B">
        <w:rPr>
          <w:i/>
          <w:iCs/>
          <w:noProof/>
          <w:sz w:val="18"/>
          <w:szCs w:val="24"/>
        </w:rPr>
        <w:t>Eurasia J. Math. Sci. Technol. Educ.</w:t>
      </w:r>
      <w:r w:rsidRPr="0060109B">
        <w:rPr>
          <w:noProof/>
          <w:sz w:val="18"/>
          <w:szCs w:val="24"/>
        </w:rPr>
        <w:t>, vol. 13, no. 3, pp. 857–871, 2017, doi: 10.12973/eurasia.2017.00647a.</w:t>
      </w:r>
    </w:p>
    <w:p w14:paraId="794A0521"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[32]</w:t>
      </w:r>
      <w:r w:rsidRPr="0060109B">
        <w:rPr>
          <w:noProof/>
          <w:sz w:val="18"/>
          <w:szCs w:val="24"/>
        </w:rPr>
        <w:tab/>
        <w:t xml:space="preserve">Y. I. Sari, Sumarmi, D. H. Utomo, and I. K. Astina, “The Effect of Problem Based Learning on Problem Solving and Scientific Writing Skills,” </w:t>
      </w:r>
      <w:r w:rsidRPr="0060109B">
        <w:rPr>
          <w:i/>
          <w:iCs/>
          <w:noProof/>
          <w:sz w:val="18"/>
          <w:szCs w:val="24"/>
        </w:rPr>
        <w:t>Int. J. Instr.</w:t>
      </w:r>
      <w:r w:rsidRPr="0060109B">
        <w:rPr>
          <w:noProof/>
          <w:sz w:val="18"/>
          <w:szCs w:val="24"/>
        </w:rPr>
        <w:t>, vol. 14, no. 2, pp. 11–26, 2021, doi: 10.29333/iji.2021.1422a.</w:t>
      </w:r>
    </w:p>
    <w:p w14:paraId="27B3BDF3"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[33]</w:t>
      </w:r>
      <w:r w:rsidRPr="0060109B">
        <w:rPr>
          <w:noProof/>
          <w:sz w:val="18"/>
          <w:szCs w:val="24"/>
        </w:rPr>
        <w:tab/>
        <w:t xml:space="preserve">A. A. Aldarmahi, “The Impact of Problem Based Learning versus Conventional Education on Students in the Aspect of Clinical Reasoning and Problem Solving,” </w:t>
      </w:r>
      <w:r w:rsidRPr="0060109B">
        <w:rPr>
          <w:i/>
          <w:iCs/>
          <w:noProof/>
          <w:sz w:val="18"/>
          <w:szCs w:val="24"/>
        </w:rPr>
        <w:t>Educ. Med. J.</w:t>
      </w:r>
      <w:r w:rsidRPr="0060109B">
        <w:rPr>
          <w:noProof/>
          <w:sz w:val="18"/>
          <w:szCs w:val="24"/>
        </w:rPr>
        <w:t>, vol. 8, no. 3, pp. 1–10, 2016, doi: 10.5959/eimj.v8i3.430.</w:t>
      </w:r>
    </w:p>
    <w:p w14:paraId="358AC99A"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[34]</w:t>
      </w:r>
      <w:r w:rsidRPr="0060109B">
        <w:rPr>
          <w:noProof/>
          <w:sz w:val="18"/>
          <w:szCs w:val="24"/>
        </w:rPr>
        <w:tab/>
        <w:t xml:space="preserve">S. Moody, X. Hu, L. J. Kuo, M. Jouhar, Z. Xu, and S. Lee, “Vocabulary instruction: A critical analysis of theories, research, and practice,” </w:t>
      </w:r>
      <w:r w:rsidRPr="0060109B">
        <w:rPr>
          <w:i/>
          <w:iCs/>
          <w:noProof/>
          <w:sz w:val="18"/>
          <w:szCs w:val="24"/>
        </w:rPr>
        <w:t>Educ. Sci.</w:t>
      </w:r>
      <w:r w:rsidRPr="0060109B">
        <w:rPr>
          <w:noProof/>
          <w:sz w:val="18"/>
          <w:szCs w:val="24"/>
        </w:rPr>
        <w:t>, vol. 8, no. 4, pp. 1–22, 2018, doi: 10.3390/educsci8040180.</w:t>
      </w:r>
    </w:p>
    <w:p w14:paraId="2864E6DF"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[35]</w:t>
      </w:r>
      <w:r w:rsidRPr="0060109B">
        <w:rPr>
          <w:noProof/>
          <w:sz w:val="18"/>
          <w:szCs w:val="24"/>
        </w:rPr>
        <w:tab/>
        <w:t xml:space="preserve">B. Sugiharto, A. D. Corebima, H. Susilo, and Ibrohim, “The pre-service biology teacher readiness in Blended Collaborative Problem Based Learning (BCPBL),” </w:t>
      </w:r>
      <w:r w:rsidRPr="0060109B">
        <w:rPr>
          <w:i/>
          <w:iCs/>
          <w:noProof/>
          <w:sz w:val="18"/>
          <w:szCs w:val="24"/>
        </w:rPr>
        <w:t>Int. J. Instr.</w:t>
      </w:r>
      <w:r w:rsidRPr="0060109B">
        <w:rPr>
          <w:noProof/>
          <w:sz w:val="18"/>
          <w:szCs w:val="24"/>
        </w:rPr>
        <w:t>, vol. 12, no. 4, pp. 113–130, 2019, doi: 10.29333/iji.2019.1248a.</w:t>
      </w:r>
    </w:p>
    <w:p w14:paraId="41F9CF41"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[36]</w:t>
      </w:r>
      <w:r w:rsidRPr="0060109B">
        <w:rPr>
          <w:noProof/>
          <w:sz w:val="18"/>
          <w:szCs w:val="24"/>
        </w:rPr>
        <w:tab/>
        <w:t xml:space="preserve">W. Saputri and A. D. Corebima, “The Correlation between Metacognitive Skills and Cognitive Learning Results of Biology Pre-service Teachers on Different Learnings,” </w:t>
      </w:r>
      <w:r w:rsidRPr="0060109B">
        <w:rPr>
          <w:i/>
          <w:iCs/>
          <w:noProof/>
          <w:sz w:val="18"/>
          <w:szCs w:val="24"/>
        </w:rPr>
        <w:t>J. Turkish Sci. Educ.</w:t>
      </w:r>
      <w:r w:rsidRPr="0060109B">
        <w:rPr>
          <w:noProof/>
          <w:sz w:val="18"/>
          <w:szCs w:val="24"/>
        </w:rPr>
        <w:t>, vol. 17, no. 4, pp. 487–503, 2020, doi: 10.36681/tused.2020.40.</w:t>
      </w:r>
    </w:p>
    <w:p w14:paraId="2790CD14"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[37]</w:t>
      </w:r>
      <w:r w:rsidRPr="0060109B">
        <w:rPr>
          <w:noProof/>
          <w:sz w:val="18"/>
          <w:szCs w:val="24"/>
        </w:rPr>
        <w:tab/>
        <w:t xml:space="preserve">A. Bahri, “Exploring The Correlation Between Metacognitive Skills and Retention of Students in Different Learning Strategies in Biology Classroom,” </w:t>
      </w:r>
      <w:r w:rsidRPr="0060109B">
        <w:rPr>
          <w:i/>
          <w:iCs/>
          <w:noProof/>
          <w:sz w:val="18"/>
          <w:szCs w:val="24"/>
        </w:rPr>
        <w:t>Proceeding ICMSTEA Int. Conf. Math. Sci. Technol. Educ. their Appl.</w:t>
      </w:r>
      <w:r w:rsidRPr="0060109B">
        <w:rPr>
          <w:noProof/>
          <w:sz w:val="18"/>
          <w:szCs w:val="24"/>
        </w:rPr>
        <w:t>, no. October, pp. 156–162, 2016.</w:t>
      </w:r>
    </w:p>
    <w:p w14:paraId="79183148"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[38]</w:t>
      </w:r>
      <w:r w:rsidRPr="0060109B">
        <w:rPr>
          <w:noProof/>
          <w:sz w:val="18"/>
          <w:szCs w:val="24"/>
        </w:rPr>
        <w:tab/>
        <w:t xml:space="preserve">A. M. Amin, A. D. Corebima, S. Zubaidah, and S. Mahanal, “The correlation between metacognitive skills and critical thinking skills at the implementation of four different learning strategies in animal physiology lectures,” </w:t>
      </w:r>
      <w:r w:rsidRPr="0060109B">
        <w:rPr>
          <w:i/>
          <w:iCs/>
          <w:noProof/>
          <w:sz w:val="18"/>
          <w:szCs w:val="24"/>
        </w:rPr>
        <w:t>Eur. J. Educ. Res.</w:t>
      </w:r>
      <w:r w:rsidRPr="0060109B">
        <w:rPr>
          <w:noProof/>
          <w:sz w:val="18"/>
          <w:szCs w:val="24"/>
        </w:rPr>
        <w:t>, vol. 9, no. 1, pp. 143–163, 2020, doi: 10.12973/eu-jer.9.1.143.</w:t>
      </w:r>
    </w:p>
    <w:p w14:paraId="3027A020"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[39]</w:t>
      </w:r>
      <w:r w:rsidRPr="0060109B">
        <w:rPr>
          <w:noProof/>
          <w:sz w:val="18"/>
          <w:szCs w:val="24"/>
        </w:rPr>
        <w:tab/>
        <w:t xml:space="preserve">S. Hariyadi, A. D. Corebima, and S. Zubaidah, “The Comparison of the Question Types in the RQA (Reading, Questioning, and Answering) Learning Model and Conventional Learning Model,” </w:t>
      </w:r>
      <w:r w:rsidRPr="0060109B">
        <w:rPr>
          <w:i/>
          <w:iCs/>
          <w:noProof/>
          <w:sz w:val="18"/>
          <w:szCs w:val="24"/>
        </w:rPr>
        <w:t>Int. J. Humanit. Soc. Sci. Educ.</w:t>
      </w:r>
      <w:r w:rsidRPr="0060109B">
        <w:rPr>
          <w:noProof/>
          <w:sz w:val="18"/>
          <w:szCs w:val="24"/>
        </w:rPr>
        <w:t>, vol. 4, no. 7, pp. 10–18, 2017, doi: 10.20431/2349-0381.0407002.</w:t>
      </w:r>
    </w:p>
    <w:p w14:paraId="7B36C6F6"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[40]</w:t>
      </w:r>
      <w:r w:rsidRPr="0060109B">
        <w:rPr>
          <w:noProof/>
          <w:sz w:val="18"/>
          <w:szCs w:val="24"/>
        </w:rPr>
        <w:tab/>
        <w:t xml:space="preserve">R. Adiansyah, A. M. Amin, A. Ardianto, and A. Yani, “Metacognitive skill profile of biology education students at institute of teachers’ education in South Sulawesi, Indonesia,” </w:t>
      </w:r>
      <w:r w:rsidRPr="0060109B">
        <w:rPr>
          <w:i/>
          <w:iCs/>
          <w:noProof/>
          <w:sz w:val="18"/>
          <w:szCs w:val="24"/>
        </w:rPr>
        <w:t>JPBI (Jurnal Pendidik. Biol. Indones.</w:t>
      </w:r>
      <w:r w:rsidRPr="0060109B">
        <w:rPr>
          <w:noProof/>
          <w:sz w:val="18"/>
          <w:szCs w:val="24"/>
        </w:rPr>
        <w:t>, vol. 8, no. 2, pp. 150–158, 2022, doi: 10.22219/jpbi.v8i2.20732.</w:t>
      </w:r>
    </w:p>
    <w:p w14:paraId="7F7BB550"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[41]</w:t>
      </w:r>
      <w:r w:rsidRPr="0060109B">
        <w:rPr>
          <w:noProof/>
          <w:sz w:val="18"/>
          <w:szCs w:val="24"/>
        </w:rPr>
        <w:tab/>
        <w:t xml:space="preserve">A. Usman, H. Susilo, H. Suwono, and A. D. Corebima, “The contributions of metacognitive skills towards the retention of different academic ability students for the implementation of several learning models,” </w:t>
      </w:r>
      <w:r w:rsidRPr="0060109B">
        <w:rPr>
          <w:i/>
          <w:iCs/>
          <w:noProof/>
          <w:sz w:val="18"/>
          <w:szCs w:val="24"/>
        </w:rPr>
        <w:t>Int. J. Educ. Pract.</w:t>
      </w:r>
      <w:r w:rsidRPr="0060109B">
        <w:rPr>
          <w:noProof/>
          <w:sz w:val="18"/>
          <w:szCs w:val="24"/>
        </w:rPr>
        <w:t>, vol. 9, no. 3, pp. 550–567, 2021, doi: 10.18488/journal.61.2021.93.550.567.</w:t>
      </w:r>
    </w:p>
    <w:p w14:paraId="47E7B81F"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[42]</w:t>
      </w:r>
      <w:r w:rsidRPr="0060109B">
        <w:rPr>
          <w:noProof/>
          <w:sz w:val="18"/>
          <w:szCs w:val="24"/>
        </w:rPr>
        <w:tab/>
        <w:t xml:space="preserve">D. A. Kenny, “A quasi-experimental approach to assessing treatment effects in the nonequivalent control group design,” </w:t>
      </w:r>
      <w:r w:rsidRPr="0060109B">
        <w:rPr>
          <w:i/>
          <w:iCs/>
          <w:noProof/>
          <w:sz w:val="18"/>
          <w:szCs w:val="24"/>
        </w:rPr>
        <w:t>Psychol. Bull.</w:t>
      </w:r>
      <w:r w:rsidRPr="0060109B">
        <w:rPr>
          <w:noProof/>
          <w:sz w:val="18"/>
          <w:szCs w:val="24"/>
        </w:rPr>
        <w:t>, vol. 82, no. 3, pp. 345–362, 1975, doi: 10.1037/0033-2909.82.3.345.</w:t>
      </w:r>
    </w:p>
    <w:p w14:paraId="1F8F530F"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[43]</w:t>
      </w:r>
      <w:r w:rsidRPr="0060109B">
        <w:rPr>
          <w:noProof/>
          <w:sz w:val="18"/>
          <w:szCs w:val="24"/>
        </w:rPr>
        <w:tab/>
        <w:t xml:space="preserve">G. Schraw, “Promoting general metacognitive awareness,” </w:t>
      </w:r>
      <w:r w:rsidRPr="0060109B">
        <w:rPr>
          <w:i/>
          <w:iCs/>
          <w:noProof/>
          <w:sz w:val="18"/>
          <w:szCs w:val="24"/>
        </w:rPr>
        <w:t>Instr. Sci.</w:t>
      </w:r>
      <w:r w:rsidRPr="0060109B">
        <w:rPr>
          <w:noProof/>
          <w:sz w:val="18"/>
          <w:szCs w:val="24"/>
        </w:rPr>
        <w:t>, vol. 26, pp. 113–125, 1998.</w:t>
      </w:r>
    </w:p>
    <w:p w14:paraId="58721919"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[44]</w:t>
      </w:r>
      <w:r w:rsidRPr="0060109B">
        <w:rPr>
          <w:noProof/>
          <w:sz w:val="18"/>
          <w:szCs w:val="24"/>
        </w:rPr>
        <w:tab/>
        <w:t xml:space="preserve">G. Thomas, D. Anderson, and S. Nashon, “Development of an instrument designed to investigate elements of science students’ metacognition, self-efficacy and learning processes: The SEMLI-S,” </w:t>
      </w:r>
      <w:r w:rsidRPr="0060109B">
        <w:rPr>
          <w:i/>
          <w:iCs/>
          <w:noProof/>
          <w:sz w:val="18"/>
          <w:szCs w:val="24"/>
        </w:rPr>
        <w:t>Int. J. Sci. Educ.</w:t>
      </w:r>
      <w:r w:rsidRPr="0060109B">
        <w:rPr>
          <w:noProof/>
          <w:sz w:val="18"/>
          <w:szCs w:val="24"/>
        </w:rPr>
        <w:t>, vol. 30, no. 13, pp. 1701–1724, 2008, doi: 10.1080/09500690701482493.</w:t>
      </w:r>
    </w:p>
    <w:p w14:paraId="2C39CC32"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[45]</w:t>
      </w:r>
      <w:r w:rsidRPr="0060109B">
        <w:rPr>
          <w:noProof/>
          <w:sz w:val="18"/>
          <w:szCs w:val="24"/>
        </w:rPr>
        <w:tab/>
        <w:t xml:space="preserve">A. Syarifah, “The Student Worksheet Based on Reading, Questioning and Answering (RQA) on Circulatory System Materials,” </w:t>
      </w:r>
      <w:r w:rsidRPr="0060109B">
        <w:rPr>
          <w:i/>
          <w:iCs/>
          <w:noProof/>
          <w:sz w:val="18"/>
          <w:szCs w:val="24"/>
        </w:rPr>
        <w:t>J. Biol. Educ.</w:t>
      </w:r>
      <w:r w:rsidRPr="0060109B">
        <w:rPr>
          <w:noProof/>
          <w:sz w:val="18"/>
          <w:szCs w:val="24"/>
        </w:rPr>
        <w:t>, vol. 11, no. 2, pp. 282–287, 2022.</w:t>
      </w:r>
    </w:p>
    <w:p w14:paraId="405B5429"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[46]</w:t>
      </w:r>
      <w:r w:rsidRPr="0060109B">
        <w:rPr>
          <w:noProof/>
          <w:sz w:val="18"/>
          <w:szCs w:val="24"/>
        </w:rPr>
        <w:tab/>
        <w:t xml:space="preserve">S. Cuccio-Schirripa and H. E. Steiner, “Enhancement and analysis of science question level for middle school students,” </w:t>
      </w:r>
      <w:r w:rsidRPr="0060109B">
        <w:rPr>
          <w:i/>
          <w:iCs/>
          <w:noProof/>
          <w:sz w:val="18"/>
          <w:szCs w:val="24"/>
        </w:rPr>
        <w:t>J. Res. Sci. Teach.</w:t>
      </w:r>
      <w:r w:rsidRPr="0060109B">
        <w:rPr>
          <w:noProof/>
          <w:sz w:val="18"/>
          <w:szCs w:val="24"/>
        </w:rPr>
        <w:t>, vol. 37, no. 2, pp. 210–224, 2000, doi: 10.1002/(SICI)1098-2736(200002)37:2&lt;210::AID-TEA7&gt;3.0.CO;2-I.</w:t>
      </w:r>
    </w:p>
    <w:p w14:paraId="0AB87301"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[47]</w:t>
      </w:r>
      <w:r w:rsidRPr="0060109B">
        <w:rPr>
          <w:noProof/>
          <w:sz w:val="18"/>
          <w:szCs w:val="24"/>
        </w:rPr>
        <w:tab/>
        <w:t xml:space="preserve">C. Chin and J. Osborne, “Students’ questions: A potential resource for teaching and learning science,” </w:t>
      </w:r>
      <w:r w:rsidRPr="0060109B">
        <w:rPr>
          <w:i/>
          <w:iCs/>
          <w:noProof/>
          <w:sz w:val="18"/>
          <w:szCs w:val="24"/>
        </w:rPr>
        <w:t>Stud. Sci. Educ.</w:t>
      </w:r>
      <w:r w:rsidRPr="0060109B">
        <w:rPr>
          <w:noProof/>
          <w:sz w:val="18"/>
          <w:szCs w:val="24"/>
        </w:rPr>
        <w:t>, vol. 44, no. 1, pp. 1–39, 2008, doi: 10.1080/03057260701828101.</w:t>
      </w:r>
    </w:p>
    <w:p w14:paraId="61209320"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[48]</w:t>
      </w:r>
      <w:r w:rsidRPr="0060109B">
        <w:rPr>
          <w:noProof/>
          <w:sz w:val="18"/>
          <w:szCs w:val="24"/>
        </w:rPr>
        <w:tab/>
        <w:t xml:space="preserve">H. Seker and Ş. Kömür, “The relationship between critical thinking skills and in-class questioning behaviours of English language teaching students,” </w:t>
      </w:r>
      <w:r w:rsidRPr="0060109B">
        <w:rPr>
          <w:i/>
          <w:iCs/>
          <w:noProof/>
          <w:sz w:val="18"/>
          <w:szCs w:val="24"/>
        </w:rPr>
        <w:t>Eur. J. Teach. Educ.</w:t>
      </w:r>
      <w:r w:rsidRPr="0060109B">
        <w:rPr>
          <w:noProof/>
          <w:sz w:val="18"/>
          <w:szCs w:val="24"/>
        </w:rPr>
        <w:t>, vol. 31, no. 4, pp. 389–402, 2008, doi: 10.1080/02619760802420784.</w:t>
      </w:r>
    </w:p>
    <w:p w14:paraId="39B92172"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[49]</w:t>
      </w:r>
      <w:r w:rsidRPr="0060109B">
        <w:rPr>
          <w:noProof/>
          <w:sz w:val="18"/>
          <w:szCs w:val="24"/>
        </w:rPr>
        <w:tab/>
        <w:t xml:space="preserve">J. S. Woolley </w:t>
      </w:r>
      <w:r w:rsidRPr="0060109B">
        <w:rPr>
          <w:i/>
          <w:iCs/>
          <w:noProof/>
          <w:sz w:val="18"/>
          <w:szCs w:val="24"/>
        </w:rPr>
        <w:t>et al.</w:t>
      </w:r>
      <w:r w:rsidRPr="0060109B">
        <w:rPr>
          <w:noProof/>
          <w:sz w:val="18"/>
          <w:szCs w:val="24"/>
        </w:rPr>
        <w:t xml:space="preserve">, “Undergraduate students demonstrate common false scientific reasoning strategies,” </w:t>
      </w:r>
      <w:r w:rsidRPr="0060109B">
        <w:rPr>
          <w:i/>
          <w:iCs/>
          <w:noProof/>
          <w:sz w:val="18"/>
          <w:szCs w:val="24"/>
        </w:rPr>
        <w:t>Think. Ski. Creat.</w:t>
      </w:r>
      <w:r w:rsidRPr="0060109B">
        <w:rPr>
          <w:noProof/>
          <w:sz w:val="18"/>
          <w:szCs w:val="24"/>
        </w:rPr>
        <w:t>, vol. 27, pp. 101–113, 2018, doi: 10.1016/j.tsc.2017.12.004.</w:t>
      </w:r>
    </w:p>
    <w:p w14:paraId="0E44DEB2"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lastRenderedPageBreak/>
        <w:t>[50]</w:t>
      </w:r>
      <w:r w:rsidRPr="0060109B">
        <w:rPr>
          <w:noProof/>
          <w:sz w:val="18"/>
          <w:szCs w:val="24"/>
        </w:rPr>
        <w:tab/>
        <w:t xml:space="preserve">M. Yih, C. A. Kek, and H. Huijser, “Higher Education Research &amp; The power of problem ‐ based learning in developing critical thinking skills : preparing students for tomorrow ’ s digital futures in today ’ s classrooms,” </w:t>
      </w:r>
      <w:r w:rsidRPr="0060109B">
        <w:rPr>
          <w:i/>
          <w:iCs/>
          <w:noProof/>
          <w:sz w:val="18"/>
          <w:szCs w:val="24"/>
        </w:rPr>
        <w:t>High. Educ. Res. Dev.</w:t>
      </w:r>
      <w:r w:rsidRPr="0060109B">
        <w:rPr>
          <w:noProof/>
          <w:sz w:val="18"/>
          <w:szCs w:val="24"/>
        </w:rPr>
        <w:t>, vol. 30, no. 3, pp. 329–341, 2011, doi: 10.1080/07294360.2010.501074.</w:t>
      </w:r>
    </w:p>
    <w:p w14:paraId="032002B2" w14:textId="3366CCFA"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[51]</w:t>
      </w:r>
      <w:r w:rsidRPr="0060109B">
        <w:rPr>
          <w:noProof/>
          <w:sz w:val="18"/>
          <w:szCs w:val="24"/>
        </w:rPr>
        <w:tab/>
        <w:t xml:space="preserve">C. E. Hmelo-silver, “Problem-Based Learning: What and How Do Students Learn? on JSTOR,” </w:t>
      </w:r>
      <w:r w:rsidRPr="0060109B">
        <w:rPr>
          <w:i/>
          <w:iCs/>
          <w:noProof/>
          <w:sz w:val="18"/>
          <w:szCs w:val="24"/>
        </w:rPr>
        <w:t>Educ. Psychol. Rev.</w:t>
      </w:r>
      <w:r w:rsidRPr="0060109B">
        <w:rPr>
          <w:noProof/>
          <w:sz w:val="18"/>
          <w:szCs w:val="24"/>
        </w:rPr>
        <w:t xml:space="preserve">, vol. 16, no. 3, pp. 235–266, 2004, [Online]. </w:t>
      </w:r>
    </w:p>
    <w:p w14:paraId="7E142AB2"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[52]</w:t>
      </w:r>
      <w:r w:rsidRPr="0060109B">
        <w:rPr>
          <w:noProof/>
          <w:sz w:val="18"/>
          <w:szCs w:val="24"/>
        </w:rPr>
        <w:tab/>
        <w:t xml:space="preserve">E. H. J. Yew and K. Goh, “Problem-Based Learning : An Overview of its Process and Impact on Learning,” </w:t>
      </w:r>
      <w:r w:rsidRPr="0060109B">
        <w:rPr>
          <w:i/>
          <w:iCs/>
          <w:noProof/>
          <w:sz w:val="18"/>
          <w:szCs w:val="24"/>
        </w:rPr>
        <w:t>Heal. Prof. Educ.</w:t>
      </w:r>
      <w:r w:rsidRPr="0060109B">
        <w:rPr>
          <w:noProof/>
          <w:sz w:val="18"/>
          <w:szCs w:val="24"/>
        </w:rPr>
        <w:t>, vol. 2, no. 2, pp. 75–79, 2016, doi: 10.1016/j.hpe.2016.01.004.</w:t>
      </w:r>
    </w:p>
    <w:p w14:paraId="66B6EC2B"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[53]</w:t>
      </w:r>
      <w:r w:rsidRPr="0060109B">
        <w:rPr>
          <w:noProof/>
          <w:sz w:val="18"/>
          <w:szCs w:val="24"/>
        </w:rPr>
        <w:tab/>
        <w:t xml:space="preserve">M. A. Almulla, “The Effectiveness of the Project-Based Learning (PBL) Approach as a Way to Engage Students in Learning,” </w:t>
      </w:r>
      <w:r w:rsidRPr="0060109B">
        <w:rPr>
          <w:i/>
          <w:iCs/>
          <w:noProof/>
          <w:sz w:val="18"/>
          <w:szCs w:val="24"/>
        </w:rPr>
        <w:t>SAGE Open</w:t>
      </w:r>
      <w:r w:rsidRPr="0060109B">
        <w:rPr>
          <w:noProof/>
          <w:sz w:val="18"/>
          <w:szCs w:val="24"/>
        </w:rPr>
        <w:t>, vol. 10, no. 3, pp. 1–15, 2020, doi: 10.1177/2158244020938702.</w:t>
      </w:r>
    </w:p>
    <w:p w14:paraId="128F27FB" w14:textId="77777777" w:rsidR="0060109B" w:rsidRPr="0060109B" w:rsidRDefault="0060109B" w:rsidP="009376EA">
      <w:pPr>
        <w:widowControl w:val="0"/>
        <w:autoSpaceDE w:val="0"/>
        <w:autoSpaceDN w:val="0"/>
        <w:adjustRightInd w:val="0"/>
        <w:ind w:left="640" w:hanging="640"/>
        <w:jc w:val="both"/>
        <w:rPr>
          <w:noProof/>
          <w:sz w:val="18"/>
          <w:szCs w:val="24"/>
        </w:rPr>
      </w:pPr>
      <w:r w:rsidRPr="0060109B">
        <w:rPr>
          <w:noProof/>
          <w:sz w:val="18"/>
          <w:szCs w:val="24"/>
        </w:rPr>
        <w:t>[54]</w:t>
      </w:r>
      <w:r w:rsidRPr="0060109B">
        <w:rPr>
          <w:noProof/>
          <w:sz w:val="18"/>
          <w:szCs w:val="24"/>
        </w:rPr>
        <w:tab/>
        <w:t xml:space="preserve">M. H. da Fonsêca Barros and M. Penna, “Problem-based learning (PBL) in music teacher education,” </w:t>
      </w:r>
      <w:r w:rsidRPr="0060109B">
        <w:rPr>
          <w:i/>
          <w:iCs/>
          <w:noProof/>
          <w:sz w:val="18"/>
          <w:szCs w:val="24"/>
        </w:rPr>
        <w:t>Int. J. Music Educ.</w:t>
      </w:r>
      <w:r w:rsidRPr="0060109B">
        <w:rPr>
          <w:noProof/>
          <w:sz w:val="18"/>
          <w:szCs w:val="24"/>
        </w:rPr>
        <w:t>, pp. 1–13, 2022, doi: 10.1177/02557614221130526.</w:t>
      </w:r>
    </w:p>
    <w:p w14:paraId="18FD936A" w14:textId="77777777" w:rsidR="0060109B" w:rsidRPr="0060109B" w:rsidRDefault="0060109B" w:rsidP="009376EA">
      <w:pPr>
        <w:widowControl w:val="0"/>
        <w:autoSpaceDE w:val="0"/>
        <w:autoSpaceDN w:val="0"/>
        <w:adjustRightInd w:val="0"/>
        <w:ind w:left="640" w:hanging="640"/>
        <w:jc w:val="both"/>
        <w:rPr>
          <w:noProof/>
          <w:sz w:val="18"/>
        </w:rPr>
      </w:pPr>
      <w:r w:rsidRPr="0060109B">
        <w:rPr>
          <w:noProof/>
          <w:sz w:val="18"/>
          <w:szCs w:val="24"/>
        </w:rPr>
        <w:t>[55]</w:t>
      </w:r>
      <w:r w:rsidRPr="0060109B">
        <w:rPr>
          <w:noProof/>
          <w:sz w:val="18"/>
          <w:szCs w:val="24"/>
        </w:rPr>
        <w:tab/>
        <w:t xml:space="preserve">S. M. Ritter and N. Mostert, “Enhancement of Creative Thinking Skills Using a Cognitive-Based Creativity Training,” </w:t>
      </w:r>
      <w:r w:rsidRPr="0060109B">
        <w:rPr>
          <w:i/>
          <w:iCs/>
          <w:noProof/>
          <w:sz w:val="18"/>
          <w:szCs w:val="24"/>
        </w:rPr>
        <w:t>J. Cogn. Enhanc.</w:t>
      </w:r>
      <w:r w:rsidRPr="0060109B">
        <w:rPr>
          <w:noProof/>
          <w:sz w:val="18"/>
          <w:szCs w:val="24"/>
        </w:rPr>
        <w:t>, vol. 1, no. 3, pp. 243–253, 2017, doi: 10.1007/s41465-016-0002-3.</w:t>
      </w:r>
    </w:p>
    <w:p w14:paraId="7134C6B7" w14:textId="2B72C798" w:rsidR="00F912D6" w:rsidRDefault="00C21CC2" w:rsidP="009376EA">
      <w:pPr>
        <w:widowControl w:val="0"/>
        <w:autoSpaceDE w:val="0"/>
        <w:autoSpaceDN w:val="0"/>
        <w:adjustRightInd w:val="0"/>
        <w:ind w:left="640" w:hanging="640"/>
        <w:jc w:val="both"/>
        <w:rPr>
          <w:color w:val="000000"/>
          <w:sz w:val="18"/>
          <w:szCs w:val="18"/>
        </w:rPr>
      </w:pPr>
      <w:r>
        <w:rPr>
          <w:color w:val="000000"/>
          <w:sz w:val="18"/>
          <w:szCs w:val="18"/>
        </w:rPr>
        <w:fldChar w:fldCharType="end"/>
      </w:r>
    </w:p>
    <w:sectPr w:rsidR="00F912D6" w:rsidSect="001A7D56">
      <w:headerReference w:type="even" r:id="rId11"/>
      <w:headerReference w:type="default" r:id="rId12"/>
      <w:footerReference w:type="even" r:id="rId13"/>
      <w:footerReference w:type="default" r:id="rId14"/>
      <w:headerReference w:type="first" r:id="rId15"/>
      <w:footerReference w:type="first" r:id="rId16"/>
      <w:pgSz w:w="11907" w:h="16840" w:code="9"/>
      <w:pgMar w:top="1418" w:right="1418" w:bottom="1418" w:left="1701" w:header="1134" w:footer="1134" w:gutter="0"/>
      <w:pgNumType w:start="10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43E087" w14:textId="77777777" w:rsidR="006469FC" w:rsidRDefault="006469FC">
      <w:r>
        <w:separator/>
      </w:r>
    </w:p>
  </w:endnote>
  <w:endnote w:type="continuationSeparator" w:id="0">
    <w:p w14:paraId="23CD5FAC" w14:textId="77777777" w:rsidR="006469FC" w:rsidRDefault="00646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aditional Arabic">
    <w:charset w:val="00"/>
    <w:family w:val="roman"/>
    <w:pitch w:val="variable"/>
    <w:sig w:usb0="00002003" w:usb1="80000000" w:usb2="00000008" w:usb3="00000000" w:csb0="00000041" w:csb1="00000000"/>
  </w:font>
  <w:font w:name="Palatino">
    <w:altName w:val="Book Antiqu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C2BE83" w14:textId="33CA033F" w:rsidR="00097958" w:rsidRPr="003D5B84" w:rsidRDefault="00F94B8E" w:rsidP="00C07BEF">
    <w:pPr>
      <w:pStyle w:val="Header"/>
      <w:tabs>
        <w:tab w:val="clear" w:pos="4320"/>
        <w:tab w:val="clear" w:pos="8640"/>
        <w:tab w:val="left" w:pos="2992"/>
      </w:tabs>
      <w:spacing w:before="240"/>
    </w:pPr>
    <w:r>
      <w:rPr>
        <w:noProof/>
      </w:rPr>
      <mc:AlternateContent>
        <mc:Choice Requires="wps">
          <w:drawing>
            <wp:anchor distT="0" distB="0" distL="114300" distR="114300" simplePos="0" relativeHeight="251659776" behindDoc="0" locked="0" layoutInCell="1" allowOverlap="1" wp14:anchorId="67EE891C" wp14:editId="450ED61B">
              <wp:simplePos x="0" y="0"/>
              <wp:positionH relativeFrom="column">
                <wp:posOffset>-12065</wp:posOffset>
              </wp:positionH>
              <wp:positionV relativeFrom="paragraph">
                <wp:posOffset>145415</wp:posOffset>
              </wp:positionV>
              <wp:extent cx="5580380" cy="0"/>
              <wp:effectExtent l="6985" t="12065" r="13335" b="6985"/>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0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line w14:anchorId="7EAB5A88" id="Line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Wys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CkSId&#10;SPQsFEfT0JneuAICKrWzoTZ6Vi/mWdPvDildtUQdeGT4ejGQloWM5E1K2DgD+Pv+s2YQQ45exzad&#10;G9sFSGgAOkc1Lnc1+NkjCoez2SKdLkA0OvgSUgyJxjr/iesOBaPEEjhHYHJ6dj4QIcUQEu5Reiuk&#10;jGJLhfoSL2eTWUxwWgoWnCHM2cO+khadSBiX+MWqwPMYZvVRsQjWcsI2N9sTIa82XC5VwINSgM7N&#10;us7Dj2W63Cw2i3yUT+abUZ7W9ejjtspH8232YVZP66qqs5+BWpYXrWCMq8BumM0s/zvtb6/kOlX3&#10;6by3IXmLHvsFZId/JB21DPJdB2Gv2WVnB41hHGPw7emEeX/cg/34wNe/AAAA//8DAFBLAwQUAAYA&#10;CAAAACEAlcBP0twAAAAIAQAADwAAAGRycy9kb3ducmV2LnhtbEyPT0/DMAzF70h8h8hIXKYtXZHG&#10;VppOCOiNCwO0q9eYtqJxuibbCp8eox3g5D/v6fnnfD26Th1pCK1nA/NZAoq48rbl2sDbazldggoR&#10;2WLnmQx8UYB1cXmRY2b9iV/ouIm1khAOGRpoYuwzrUPVkMMw8z2xaB9+cBhlHGptBzxJuOt0miQL&#10;7bBludBgTw8NVZ+bgzMQynfal9+TapJsb2pP6f7x+QmNub4a7+9ARRrjnxl+8QUdCmHa+QPboDoD&#10;0/lKnAbSVKroy9uFNLvzQhe5/v9A8QMAAP//AwBQSwECLQAUAAYACAAAACEAtoM4kv4AAADhAQAA&#10;EwAAAAAAAAAAAAAAAAAAAAAAW0NvbnRlbnRfVHlwZXNdLnhtbFBLAQItABQABgAIAAAAIQA4/SH/&#10;1gAAAJQBAAALAAAAAAAAAAAAAAAAAC8BAABfcmVscy8ucmVsc1BLAQItABQABgAIAAAAIQAcDWys&#10;EgIAACgEAAAOAAAAAAAAAAAAAAAAAC4CAABkcnMvZTJvRG9jLnhtbFBLAQItABQABgAIAAAAIQCV&#10;wE/S3AAAAAgBAAAPAAAAAAAAAAAAAAAAAGwEAABkcnMvZG93bnJldi54bWxQSwUGAAAAAAQABADz&#10;AAAAdQUAAAAA&#10;"/>
          </w:pict>
        </mc:Fallback>
      </mc:AlternateContent>
    </w:r>
    <w:r w:rsidR="007522A5" w:rsidRPr="007522A5">
      <w:t>J Edu &amp; Learn</w:t>
    </w:r>
    <w:r w:rsidR="003D3062">
      <w:t>,</w:t>
    </w:r>
    <w:r w:rsidR="007522A5">
      <w:t xml:space="preserve"> </w:t>
    </w:r>
    <w:r w:rsidR="00097958" w:rsidRPr="003D5B84">
      <w:t xml:space="preserve">Vol. </w:t>
    </w:r>
    <w:r w:rsidR="00F71BBB">
      <w:t>13</w:t>
    </w:r>
    <w:r w:rsidR="00097958" w:rsidRPr="003D5B84">
      <w:t xml:space="preserve">, No. </w:t>
    </w:r>
    <w:r w:rsidR="00F71BBB">
      <w:t>1</w:t>
    </w:r>
    <w:r w:rsidR="00097958" w:rsidRPr="003D5B84">
      <w:t xml:space="preserve">, </w:t>
    </w:r>
    <w:r w:rsidR="002A3F1B">
      <w:t>May</w:t>
    </w:r>
    <w:r w:rsidR="00F71BBB">
      <w:t xml:space="preserve"> </w:t>
    </w:r>
    <w:proofErr w:type="gramStart"/>
    <w:r w:rsidR="00097958" w:rsidRPr="003D5B84">
      <w:t>20</w:t>
    </w:r>
    <w:r w:rsidR="009E0357">
      <w:t>20</w:t>
    </w:r>
    <w:r w:rsidR="00097958" w:rsidRPr="003D5B84">
      <w:t xml:space="preserve"> :</w:t>
    </w:r>
    <w:proofErr w:type="gramEnd"/>
    <w:r w:rsidR="00097958" w:rsidRPr="003D5B84">
      <w:t xml:space="preserve">  </w:t>
    </w:r>
    <w:r w:rsidR="007F2C82" w:rsidRPr="003D5B84">
      <w:t>xx</w:t>
    </w:r>
    <w:r w:rsidR="00097958" w:rsidRPr="003D5B84">
      <w:t xml:space="preserve"> </w:t>
    </w:r>
    <w:r w:rsidR="000F279B" w:rsidRPr="003D5B84">
      <w:t>–</w:t>
    </w:r>
    <w:r w:rsidR="00097958" w:rsidRPr="003D5B84">
      <w:t xml:space="preserve"> </w:t>
    </w:r>
    <w:r w:rsidR="007F2C82" w:rsidRPr="003D5B84">
      <w:t>xx</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AFE948" w14:textId="77777777" w:rsidR="00097958" w:rsidRPr="00C07BEF" w:rsidRDefault="00EE10AE" w:rsidP="0094367D">
    <w:pPr>
      <w:pStyle w:val="Footer"/>
      <w:pBdr>
        <w:top w:val="single" w:sz="4" w:space="1" w:color="auto"/>
      </w:pBdr>
      <w:jc w:val="right"/>
      <w:rPr>
        <w:i/>
      </w:rPr>
    </w:pPr>
    <w:r w:rsidRPr="00C07BEF">
      <w:rPr>
        <w:i/>
      </w:rPr>
      <w:t>Title of manuscript is short and clear, implies research results (First Author)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C13C86" w14:textId="6CC0C88A" w:rsidR="00097958" w:rsidRPr="003D5B84" w:rsidRDefault="00C854C1" w:rsidP="00C07BEF">
    <w:pPr>
      <w:pStyle w:val="Footer"/>
      <w:pBdr>
        <w:top w:val="single" w:sz="4" w:space="1" w:color="auto"/>
      </w:pBdr>
      <w:spacing w:before="240"/>
      <w:rPr>
        <w:i/>
        <w:szCs w:val="18"/>
      </w:rPr>
    </w:pPr>
    <w:r w:rsidRPr="00C854C1">
      <w:rPr>
        <w:b/>
        <w:i/>
        <w:szCs w:val="18"/>
      </w:rPr>
      <w:t>Journal homepage</w:t>
    </w:r>
    <w:r>
      <w:rPr>
        <w:i/>
        <w:szCs w:val="18"/>
      </w:rPr>
      <w:t xml:space="preserve">: </w:t>
    </w:r>
    <w:r w:rsidR="009E0357" w:rsidRPr="009E0357">
      <w:rPr>
        <w:i/>
        <w:szCs w:val="18"/>
      </w:rPr>
      <w:t>http://journal.uad.ac.id/index.php/EduLearn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5C9A10" w14:textId="77777777" w:rsidR="006469FC" w:rsidRDefault="006469FC">
      <w:r>
        <w:separator/>
      </w:r>
    </w:p>
  </w:footnote>
  <w:footnote w:type="continuationSeparator" w:id="0">
    <w:p w14:paraId="00B2C25F" w14:textId="77777777" w:rsidR="006469FC" w:rsidRDefault="006469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9E646" w14:textId="77777777" w:rsidR="00097958" w:rsidRPr="003D5B84" w:rsidRDefault="00EB5D17" w:rsidP="008B04B3">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DB62B6">
      <w:rPr>
        <w:rStyle w:val="PageNumber"/>
        <w:noProof/>
      </w:rPr>
      <w:t>108</w:t>
    </w:r>
    <w:r w:rsidRPr="003D5B84">
      <w:rPr>
        <w:rStyle w:val="PageNumber"/>
      </w:rPr>
      <w:fldChar w:fldCharType="end"/>
    </w:r>
  </w:p>
  <w:p w14:paraId="7733C772" w14:textId="0AF9C34D" w:rsidR="00097958" w:rsidRPr="003D5B84" w:rsidRDefault="00F94B8E" w:rsidP="00C07BEF">
    <w:pPr>
      <w:pStyle w:val="Header"/>
      <w:tabs>
        <w:tab w:val="clear" w:pos="4320"/>
        <w:tab w:val="clear" w:pos="8640"/>
        <w:tab w:val="right" w:pos="851"/>
        <w:tab w:val="left" w:pos="3405"/>
        <w:tab w:val="right" w:pos="8789"/>
      </w:tabs>
      <w:spacing w:after="240"/>
    </w:pPr>
    <w:r>
      <w:rPr>
        <w:noProof/>
      </w:rPr>
      <mc:AlternateContent>
        <mc:Choice Requires="wps">
          <w:drawing>
            <wp:anchor distT="0" distB="0" distL="114300" distR="114300" simplePos="0" relativeHeight="251661824" behindDoc="0" locked="0" layoutInCell="1" allowOverlap="1" wp14:anchorId="039FC25C" wp14:editId="22EFE345">
              <wp:simplePos x="0" y="0"/>
              <wp:positionH relativeFrom="column">
                <wp:posOffset>23495</wp:posOffset>
              </wp:positionH>
              <wp:positionV relativeFrom="paragraph">
                <wp:posOffset>182880</wp:posOffset>
              </wp:positionV>
              <wp:extent cx="5544820" cy="0"/>
              <wp:effectExtent l="13970" t="11430" r="13335" b="7620"/>
              <wp:wrapNone/>
              <wp:docPr id="3"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482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5B83591" id="_x0000_t32" coordsize="21600,21600" o:spt="32" o:oned="t" path="m,l21600,21600e" filled="f">
              <v:path arrowok="t" fillok="f" o:connecttype="none"/>
              <o:lock v:ext="edit" shapetype="t"/>
            </v:shapetype>
            <v:shape id="AutoShape 7" o:spid="_x0000_s1026" type="#_x0000_t32" style="position:absolute;margin-left:1.85pt;margin-top:14.4pt;width:436.6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YjzHwIAADwEAAAOAAAAZHJzL2Uyb0RvYy54bWysU9uO2yAQfa/Uf0C8J7azzmWtOKuVnfRl&#10;20ba7QcQwDYqBgQkTlT13zuQi7LtS1U1D2TwzJw5M2dYPh17iQ7cOqFVibNxihFXVDOh2hJ/e9uM&#10;Fhg5TxQjUite4hN3+Gn18cNyMAWf6E5Lxi0CEOWKwZS4894USeJox3vixtpwBc5G2554uNo2YZYM&#10;gN7LZJKms2TQlhmrKXcOvtZnJ15F/Kbh1H9tGsc9kiUGbj6eNp67cCarJSlaS0wn6IUG+QcWPREK&#10;it6gauIJ2lvxB1QvqNVON35MdZ/ophGUxx6gmyz9rZvXjhgee4HhOHMbk/t/sPTLYWuRYCV+wEiR&#10;HiR63nsdK6N5GM9gXAFRldra0CA9qlfzoul3h5SuOqJaHoPfTgZys5CRvEsJF2egyG74rBnEEMCP&#10;szo2tg+QMAV0jJKcbpLwo0cUPk6neb6YgHL06ktIcU001vlPXPcoGCV23hLRdr7SSoHw2maxDDm8&#10;OB9okeKaEKoqvRFSRv2lQgNwn8zTNGY4LQUL3hDnbLurpEUHElYo/mKT4LkPs3qvWETrOGHri+2J&#10;kGcbqksV8KAz4HOxzjvy4zF9XC/Wi3yUT2brUZ7W9eh5U+Wj2SabT+uHuqrq7GegluVFJxjjKrC7&#10;7muW/90+XF7OedNuG3ubQ/IePQ4MyF7/I+kobVDzvBc7zU5be5UcVjQGX55TeAP3d7DvH/3qFwAA&#10;AP//AwBQSwMEFAAGAAgAAAAhAN50ErzaAAAABwEAAA8AAABkcnMvZG93bnJldi54bWxMj8FOwzAQ&#10;RO9I/IO1SNyoQ6FJSONUgMS5IuXCzYm3cdR4HcVuE/6eRRzgODujmbflbnGDuOAUek8K7lcJCKTW&#10;m546BR+Ht7scRIiajB48oYIvDLCrrq9KXRg/0zte6tgJLqFQaAU2xrGQMrQWnQ4rPyKxd/ST05Hl&#10;1Ekz6ZnL3SDXSZJKp3viBatHfLXYnuqzU5A9mk+v05dNs5n3h4hHW+f7Ranbm+V5CyLiEv/C8IPP&#10;6FAxU+PPZIIYFDxkHFSwzvkBtvMsfQLR/B5kVcr//NU3AAAA//8DAFBLAQItABQABgAIAAAAIQC2&#10;gziS/gAAAOEBAAATAAAAAAAAAAAAAAAAAAAAAABbQ29udGVudF9UeXBlc10ueG1sUEsBAi0AFAAG&#10;AAgAAAAhADj9If/WAAAAlAEAAAsAAAAAAAAAAAAAAAAALwEAAF9yZWxzLy5yZWxzUEsBAi0AFAAG&#10;AAgAAAAhAGPRiPMfAgAAPAQAAA4AAAAAAAAAAAAAAAAALgIAAGRycy9lMm9Eb2MueG1sUEsBAi0A&#10;FAAGAAgAAAAhAN50ErzaAAAABwEAAA8AAAAAAAAAAAAAAAAAeQQAAGRycy9kb3ducmV2LnhtbFBL&#10;BQYAAAAABAAEAPMAAACABQAAAAA=&#10;" strokeweight="1pt"/>
          </w:pict>
        </mc:Fallback>
      </mc:AlternateContent>
    </w:r>
    <w:r w:rsidR="00E5155C" w:rsidRPr="003D5B84">
      <w:tab/>
    </w:r>
    <w:r w:rsidR="00C854C1">
      <w:sym w:font="Wingdings" w:char="F072"/>
    </w:r>
    <w:r w:rsidR="00097958" w:rsidRPr="003D5B84">
      <w:tab/>
    </w:r>
    <w:r w:rsidR="003D5B84" w:rsidRPr="003D5B84">
      <w:tab/>
    </w:r>
    <w:r w:rsidR="00E5155C" w:rsidRPr="003D5B84">
      <w:t>ISSN</w:t>
    </w:r>
    <w:r w:rsidR="00DC341B">
      <w:t>:</w:t>
    </w:r>
    <w:r w:rsidR="00E5155C" w:rsidRPr="003D5B84">
      <w:t xml:space="preserve"> </w:t>
    </w:r>
    <w:r w:rsidR="001A7D56" w:rsidRPr="001A7D56">
      <w:t>2089-9823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D9E091" w14:textId="77777777" w:rsidR="00097958" w:rsidRPr="003D5B84" w:rsidRDefault="00EB5D17" w:rsidP="00F173DD">
    <w:pPr>
      <w:pStyle w:val="Header"/>
      <w:framePr w:wrap="around" w:vAnchor="text" w:hAnchor="margin" w:xAlign="outside" w:y="1"/>
      <w:rPr>
        <w:rStyle w:val="PageNumber"/>
      </w:rPr>
    </w:pPr>
    <w:r w:rsidRPr="003D5B84">
      <w:rPr>
        <w:rStyle w:val="PageNumber"/>
      </w:rPr>
      <w:fldChar w:fldCharType="begin"/>
    </w:r>
    <w:r w:rsidR="00097958" w:rsidRPr="003D5B84">
      <w:rPr>
        <w:rStyle w:val="PageNumber"/>
      </w:rPr>
      <w:instrText xml:space="preserve">PAGE  </w:instrText>
    </w:r>
    <w:r w:rsidRPr="003D5B84">
      <w:rPr>
        <w:rStyle w:val="PageNumber"/>
      </w:rPr>
      <w:fldChar w:fldCharType="separate"/>
    </w:r>
    <w:r w:rsidR="00DB62B6">
      <w:rPr>
        <w:rStyle w:val="PageNumber"/>
        <w:noProof/>
      </w:rPr>
      <w:t>107</w:t>
    </w:r>
    <w:r w:rsidRPr="003D5B84">
      <w:rPr>
        <w:rStyle w:val="PageNumber"/>
      </w:rPr>
      <w:fldChar w:fldCharType="end"/>
    </w:r>
  </w:p>
  <w:p w14:paraId="4888ED3F" w14:textId="323746F6" w:rsidR="00097958" w:rsidRPr="003D5B84" w:rsidRDefault="003D3062" w:rsidP="00C07BEF">
    <w:pPr>
      <w:pStyle w:val="Header"/>
      <w:pBdr>
        <w:bottom w:val="single" w:sz="4" w:space="1" w:color="auto"/>
      </w:pBdr>
      <w:tabs>
        <w:tab w:val="clear" w:pos="4320"/>
        <w:tab w:val="clear" w:pos="8640"/>
        <w:tab w:val="left" w:pos="0"/>
        <w:tab w:val="center" w:pos="4301"/>
        <w:tab w:val="left" w:pos="7938"/>
      </w:tabs>
    </w:pPr>
    <w:r>
      <w:t>J Edu &amp; Learn</w:t>
    </w:r>
    <w:r w:rsidR="00097958" w:rsidRPr="003D5B84">
      <w:tab/>
      <w:t xml:space="preserve">ISSN: </w:t>
    </w:r>
    <w:r w:rsidR="00E75C2E" w:rsidRPr="001A7D56">
      <w:t>2089-9823</w:t>
    </w:r>
    <w:r w:rsidR="00EF1185" w:rsidRPr="003D5B84">
      <w:tab/>
    </w:r>
    <w:r w:rsidR="00C854C1">
      <w:sym w:font="Wingdings" w:char="F072"/>
    </w:r>
  </w:p>
  <w:p w14:paraId="48026A2B" w14:textId="77777777" w:rsidR="00097958" w:rsidRPr="003D5B84" w:rsidRDefault="00097958" w:rsidP="0094367D">
    <w:pPr>
      <w:pStyle w:val="Header"/>
      <w:ind w:right="360"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B072B2" w14:textId="77777777" w:rsidR="00E861C6" w:rsidRPr="00E861C6" w:rsidRDefault="001A7D56" w:rsidP="00E861C6">
    <w:pPr>
      <w:pStyle w:val="Header"/>
      <w:tabs>
        <w:tab w:val="clear" w:pos="4320"/>
        <w:tab w:val="clear" w:pos="8640"/>
      </w:tabs>
      <w:ind w:right="45"/>
      <w:rPr>
        <w:b/>
      </w:rPr>
    </w:pPr>
    <w:r w:rsidRPr="001A7D56">
      <w:rPr>
        <w:b/>
      </w:rPr>
      <w:t>Journal of Education and Learning (</w:t>
    </w:r>
    <w:proofErr w:type="spellStart"/>
    <w:r w:rsidRPr="001A7D56">
      <w:rPr>
        <w:b/>
      </w:rPr>
      <w:t>EduLearn</w:t>
    </w:r>
    <w:proofErr w:type="spellEnd"/>
    <w:r w:rsidRPr="001A7D56">
      <w:rPr>
        <w:b/>
      </w:rPr>
      <w:t>)</w:t>
    </w:r>
  </w:p>
  <w:p w14:paraId="5D2CD90D" w14:textId="6E1AB0A9" w:rsidR="002F6BBA" w:rsidRPr="003D5B84" w:rsidRDefault="002F6BBA" w:rsidP="008B04B3">
    <w:pPr>
      <w:pStyle w:val="Header"/>
      <w:tabs>
        <w:tab w:val="clear" w:pos="4320"/>
        <w:tab w:val="clear" w:pos="8640"/>
      </w:tabs>
      <w:ind w:right="45"/>
    </w:pPr>
    <w:r w:rsidRPr="003D5B84">
      <w:t>Vol.</w:t>
    </w:r>
    <w:r w:rsidR="00AD493F">
      <w:t xml:space="preserve"> 13</w:t>
    </w:r>
    <w:r w:rsidRPr="003D5B84">
      <w:t>, No.</w:t>
    </w:r>
    <w:r w:rsidR="00AD493F">
      <w:t xml:space="preserve"> </w:t>
    </w:r>
    <w:r w:rsidR="00F913D6">
      <w:t>2</w:t>
    </w:r>
    <w:r w:rsidRPr="003D5B84">
      <w:t xml:space="preserve">, </w:t>
    </w:r>
    <w:r w:rsidR="00F913D6">
      <w:t>May</w:t>
    </w:r>
    <w:r w:rsidR="00E861C6">
      <w:t xml:space="preserve"> </w:t>
    </w:r>
    <w:r w:rsidR="00CF68C9">
      <w:t>2020</w:t>
    </w:r>
    <w:r w:rsidR="0075769A" w:rsidRPr="003D5B84">
      <w:t xml:space="preserve">, pp. </w:t>
    </w:r>
    <w:proofErr w:type="spellStart"/>
    <w:r w:rsidR="008B060F" w:rsidRPr="003D5B84">
      <w:t>xx~</w:t>
    </w:r>
    <w:r w:rsidR="007F2C82" w:rsidRPr="003D5B84">
      <w:t>xx</w:t>
    </w:r>
    <w:proofErr w:type="spellEnd"/>
  </w:p>
  <w:p w14:paraId="1C8F9F04" w14:textId="0D913C81" w:rsidR="00097958" w:rsidRPr="003D5B84" w:rsidRDefault="002F6BBA" w:rsidP="00957C11">
    <w:pPr>
      <w:pStyle w:val="Header"/>
      <w:tabs>
        <w:tab w:val="clear" w:pos="4320"/>
        <w:tab w:val="clear" w:pos="8640"/>
        <w:tab w:val="left" w:pos="7938"/>
        <w:tab w:val="right" w:pos="8789"/>
      </w:tabs>
      <w:rPr>
        <w:rStyle w:val="PageNumber"/>
      </w:rPr>
    </w:pPr>
    <w:r w:rsidRPr="003D5B84">
      <w:t xml:space="preserve">ISSN: </w:t>
    </w:r>
    <w:r w:rsidR="001A7D56" w:rsidRPr="001A7D56">
      <w:t>2089-9823</w:t>
    </w:r>
    <w:r w:rsidR="008C5058">
      <w:t xml:space="preserve"> </w:t>
    </w:r>
    <w:r w:rsidR="008C5058" w:rsidRPr="008C5058">
      <w:t>DOI: 10.11591/edulearn.v1</w:t>
    </w:r>
    <w:r w:rsidR="00F913D6">
      <w:t>3</w:t>
    </w:r>
    <w:r w:rsidR="008C5058" w:rsidRPr="008C5058">
      <w:t>i</w:t>
    </w:r>
    <w:r w:rsidR="00F913D6">
      <w:t>2</w:t>
    </w:r>
    <w:r w:rsidR="008C5058" w:rsidRPr="008C5058">
      <w:t>.</w:t>
    </w:r>
    <w:r w:rsidR="008C5058">
      <w:t>xxxx</w:t>
    </w:r>
    <w:r w:rsidR="008B060F" w:rsidRPr="003D5B84">
      <w:tab/>
    </w:r>
    <w:r w:rsidR="00C854C1">
      <w:sym w:font="Wingdings" w:char="F072"/>
    </w:r>
    <w:r w:rsidR="00E5155C" w:rsidRPr="003D5B84">
      <w:tab/>
    </w:r>
    <w:r w:rsidR="00EB5D17" w:rsidRPr="003D5B84">
      <w:rPr>
        <w:rStyle w:val="PageNumber"/>
      </w:rPr>
      <w:fldChar w:fldCharType="begin"/>
    </w:r>
    <w:r w:rsidR="00097958" w:rsidRPr="003D5B84">
      <w:rPr>
        <w:rStyle w:val="PageNumber"/>
      </w:rPr>
      <w:instrText xml:space="preserve"> PAGE </w:instrText>
    </w:r>
    <w:r w:rsidR="00EB5D17" w:rsidRPr="003D5B84">
      <w:rPr>
        <w:rStyle w:val="PageNumber"/>
      </w:rPr>
      <w:fldChar w:fldCharType="separate"/>
    </w:r>
    <w:r w:rsidR="006E73B0">
      <w:rPr>
        <w:rStyle w:val="PageNumber"/>
        <w:noProof/>
      </w:rPr>
      <w:t>101</w:t>
    </w:r>
    <w:r w:rsidR="00EB5D17" w:rsidRPr="003D5B84">
      <w:rPr>
        <w:rStyle w:val="PageNumber"/>
      </w:rPr>
      <w:fldChar w:fldCharType="end"/>
    </w:r>
  </w:p>
  <w:p w14:paraId="4CD42762" w14:textId="77777777" w:rsidR="00097958" w:rsidRPr="003D5B84" w:rsidRDefault="00F94B8E" w:rsidP="008B04B3">
    <w:pPr>
      <w:pStyle w:val="Header"/>
      <w:tabs>
        <w:tab w:val="clear" w:pos="4320"/>
        <w:tab w:val="clear" w:pos="8640"/>
      </w:tabs>
      <w:ind w:right="45"/>
      <w:jc w:val="right"/>
      <w:rPr>
        <w:rStyle w:val="PageNumber"/>
      </w:rPr>
    </w:pPr>
    <w:r>
      <w:rPr>
        <w:noProof/>
      </w:rPr>
      <mc:AlternateContent>
        <mc:Choice Requires="wps">
          <w:drawing>
            <wp:anchor distT="0" distB="0" distL="114300" distR="114300" simplePos="0" relativeHeight="251667456" behindDoc="0" locked="0" layoutInCell="1" allowOverlap="1" wp14:anchorId="6538A8F7" wp14:editId="49B6FFCB">
              <wp:simplePos x="0" y="0"/>
              <wp:positionH relativeFrom="column">
                <wp:posOffset>4445</wp:posOffset>
              </wp:positionH>
              <wp:positionV relativeFrom="paragraph">
                <wp:posOffset>40005</wp:posOffset>
              </wp:positionV>
              <wp:extent cx="5601970" cy="0"/>
              <wp:effectExtent l="13970" t="11430" r="13335" b="762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197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5E2072E9" id="_x0000_t32" coordsize="21600,21600" o:spt="32" o:oned="t" path="m,l21600,21600e" filled="f">
              <v:path arrowok="t" fillok="f" o:connecttype="none"/>
              <o:lock v:ext="edit" shapetype="t"/>
            </v:shapetype>
            <v:shape id="AutoShape 6" o:spid="_x0000_s1026" type="#_x0000_t32" style="position:absolute;margin-left:.35pt;margin-top:3.15pt;width:441.1pt;height: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oGSHgIAADwEAAAOAAAAZHJzL2Uyb0RvYy54bWysU8uO2zAMvBfoPwi+J7ZTbx5GnMXCTnrZ&#10;dgPs9gMUSbaF2qIgKXGCov9eSnkg216KojkolEkOhxxq+XjsO3IQxkpQRZSOk4gIxYBL1RTRt7fN&#10;aB4R66jitAMliugkbPS4+vhhOehcTKCFjgtDEETZfNBF1Dqn8zi2rBU9tWPQQqGzBtNTh1fTxNzQ&#10;AdH7Lp4kyTQewHBtgAlr8Wt1dkargF/XgrmXurbCka6IkJsLpwnnzp/xaknzxlDdSnahQf+BRU+l&#10;wqI3qIo6SvZG/gHVS2bAQu3GDPoY6loyEXrAbtLkt25eW6pF6AWHY/VtTPb/wbKvh60hkqN2EVG0&#10;R4me9g5CZTL14xm0zTGqVFvjG2RH9aqfgX23REHZUtWIEPx20pib+oz4XYq/WI1FdsMX4BhDET/M&#10;6lib3kPiFMgxSHK6SSKOjjD8+DBN0sUMlWNXX0zza6I21n0W0BNvFJF1hsqmdSUohcKDSUMZeni2&#10;ztOi+TXBV1WwkV0X9O8UGZD7ZJYkIcNCJ7n3+jhrml3ZGXKgfoXCLzSJnvswA3vFA1orKF9fbEdl&#10;d7axeqc8HnaGfC7WeUd+LJLFer6eZ6NsMl2PsqSqRk+bMhtNN+nsofpUlWWV/vTU0ixvJedCeXbX&#10;fU2zv9uHy8s5b9ptY29ziN+jh4Eh2et/IB2k9Wqe92IH/LQ1V8lxRUPw5Tn5N3B/R/v+0a9+AQAA&#10;//8DAFBLAwQUAAYACAAAACEArF9FgtYAAAAEAQAADwAAAGRycy9kb3ducmV2LnhtbEyOQU+DQBCF&#10;7yb+h82YeLOL1SIiS6MmnhupF28DOwUiO0vYbcF/7+jFHl/ey/e+Yru4QZ1oCr1nA7erBBRx423P&#10;rYGP/dtNBipEZIuDZzLwTQG25eVFgbn1M7/TqYqtEgiHHA10MY651qHpyGFY+ZFYuoOfHEaJU6vt&#10;hLPA3aDXSZJqhz3LQ4cjvXbUfFVHZ+Dh3n56TF829Wbe7SMduirbLcZcXy3PT6AiLfF/DL/6og6l&#10;ONX+yDaoQRiyM5DegZIyy9aPoOq/rMtCn8uXPwAAAP//AwBQSwECLQAUAAYACAAAACEAtoM4kv4A&#10;AADhAQAAEwAAAAAAAAAAAAAAAAAAAAAAW0NvbnRlbnRfVHlwZXNdLnhtbFBLAQItABQABgAIAAAA&#10;IQA4/SH/1gAAAJQBAAALAAAAAAAAAAAAAAAAAC8BAABfcmVscy8ucmVsc1BLAQItABQABgAIAAAA&#10;IQBo6oGSHgIAADwEAAAOAAAAAAAAAAAAAAAAAC4CAABkcnMvZTJvRG9jLnhtbFBLAQItABQABgAI&#10;AAAAIQCsX0WC1gAAAAQBAAAPAAAAAAAAAAAAAAAAAHgEAABkcnMvZG93bnJldi54bWxQSwUGAAAA&#10;AAQABADzAAAAewUAAAAA&#10;" strokeweight="1pt"/>
          </w:pict>
        </mc:Fallback>
      </mc:AlternateContent>
    </w:r>
    <w:r w:rsidR="00097958" w:rsidRPr="003D5B84">
      <w:rPr>
        <w:rStyle w:val="PageNumber"/>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F5206B"/>
    <w:multiLevelType w:val="hybridMultilevel"/>
    <w:tmpl w:val="2C88AC22"/>
    <w:lvl w:ilvl="0" w:tplc="D074B24A">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E9D2911"/>
    <w:multiLevelType w:val="hybridMultilevel"/>
    <w:tmpl w:val="F456218E"/>
    <w:lvl w:ilvl="0" w:tplc="EBEC687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03B36FE"/>
    <w:multiLevelType w:val="hybridMultilevel"/>
    <w:tmpl w:val="56D6DE56"/>
    <w:lvl w:ilvl="0" w:tplc="28E0798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7991C5D"/>
    <w:multiLevelType w:val="hybridMultilevel"/>
    <w:tmpl w:val="DAAA6750"/>
    <w:lvl w:ilvl="0" w:tplc="8C0877A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A796E7E"/>
    <w:multiLevelType w:val="hybridMultilevel"/>
    <w:tmpl w:val="F0523430"/>
    <w:lvl w:ilvl="0" w:tplc="F30472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DE670CC"/>
    <w:multiLevelType w:val="hybridMultilevel"/>
    <w:tmpl w:val="9F306BE0"/>
    <w:lvl w:ilvl="0" w:tplc="D96EDC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782411"/>
    <w:multiLevelType w:val="hybridMultilevel"/>
    <w:tmpl w:val="FA8C5D3A"/>
    <w:lvl w:ilvl="0" w:tplc="2F08CB6E">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AAD032B"/>
    <w:multiLevelType w:val="hybridMultilevel"/>
    <w:tmpl w:val="F6E8D5D8"/>
    <w:lvl w:ilvl="0" w:tplc="85D818A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9">
    <w:nsid w:val="52EA1912"/>
    <w:multiLevelType w:val="hybridMultilevel"/>
    <w:tmpl w:val="0230412C"/>
    <w:lvl w:ilvl="0" w:tplc="15DA9126">
      <w:start w:val="1"/>
      <w:numFmt w:val="decimal"/>
      <w:lvlText w:val="[%1]"/>
      <w:lvlJc w:val="left"/>
      <w:pPr>
        <w:tabs>
          <w:tab w:val="num" w:pos="360"/>
        </w:tabs>
        <w:ind w:left="360" w:hanging="360"/>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CED335E"/>
    <w:multiLevelType w:val="hybridMultilevel"/>
    <w:tmpl w:val="B8C878CC"/>
    <w:lvl w:ilvl="0" w:tplc="963295E4">
      <w:start w:val="1"/>
      <w:numFmt w:val="decimal"/>
      <w:lvlText w:val="[%1] "/>
      <w:lvlJc w:val="left"/>
      <w:pPr>
        <w:tabs>
          <w:tab w:val="num" w:pos="360"/>
        </w:tabs>
        <w:ind w:left="360" w:hanging="360"/>
      </w:pPr>
      <w:rPr>
        <w:rFonts w:ascii="Arial" w:hAnsi="Arial" w:hint="default"/>
        <w:b w:val="0"/>
        <w:i w:val="0"/>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5D2B1111"/>
    <w:multiLevelType w:val="hybridMultilevel"/>
    <w:tmpl w:val="7AA4584E"/>
    <w:lvl w:ilvl="0" w:tplc="6F5E08A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3">
    <w:nsid w:val="65A23480"/>
    <w:multiLevelType w:val="hybridMultilevel"/>
    <w:tmpl w:val="E53CC32E"/>
    <w:lvl w:ilvl="0" w:tplc="9264B2C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458"/>
        </w:tabs>
        <w:ind w:left="-458" w:hanging="360"/>
      </w:pPr>
    </w:lvl>
    <w:lvl w:ilvl="2" w:tplc="0409001B" w:tentative="1">
      <w:start w:val="1"/>
      <w:numFmt w:val="lowerRoman"/>
      <w:lvlText w:val="%3."/>
      <w:lvlJc w:val="right"/>
      <w:pPr>
        <w:tabs>
          <w:tab w:val="num" w:pos="262"/>
        </w:tabs>
        <w:ind w:left="262" w:hanging="180"/>
      </w:pPr>
    </w:lvl>
    <w:lvl w:ilvl="3" w:tplc="0409000F" w:tentative="1">
      <w:start w:val="1"/>
      <w:numFmt w:val="decimal"/>
      <w:lvlText w:val="%4."/>
      <w:lvlJc w:val="left"/>
      <w:pPr>
        <w:tabs>
          <w:tab w:val="num" w:pos="982"/>
        </w:tabs>
        <w:ind w:left="982" w:hanging="360"/>
      </w:pPr>
    </w:lvl>
    <w:lvl w:ilvl="4" w:tplc="04090019" w:tentative="1">
      <w:start w:val="1"/>
      <w:numFmt w:val="lowerLetter"/>
      <w:lvlText w:val="%5."/>
      <w:lvlJc w:val="left"/>
      <w:pPr>
        <w:tabs>
          <w:tab w:val="num" w:pos="1702"/>
        </w:tabs>
        <w:ind w:left="1702" w:hanging="360"/>
      </w:pPr>
    </w:lvl>
    <w:lvl w:ilvl="5" w:tplc="0409001B" w:tentative="1">
      <w:start w:val="1"/>
      <w:numFmt w:val="lowerRoman"/>
      <w:lvlText w:val="%6."/>
      <w:lvlJc w:val="right"/>
      <w:pPr>
        <w:tabs>
          <w:tab w:val="num" w:pos="2422"/>
        </w:tabs>
        <w:ind w:left="2422" w:hanging="180"/>
      </w:pPr>
    </w:lvl>
    <w:lvl w:ilvl="6" w:tplc="0409000F" w:tentative="1">
      <w:start w:val="1"/>
      <w:numFmt w:val="decimal"/>
      <w:lvlText w:val="%7."/>
      <w:lvlJc w:val="left"/>
      <w:pPr>
        <w:tabs>
          <w:tab w:val="num" w:pos="3142"/>
        </w:tabs>
        <w:ind w:left="3142" w:hanging="360"/>
      </w:pPr>
    </w:lvl>
    <w:lvl w:ilvl="7" w:tplc="04090019" w:tentative="1">
      <w:start w:val="1"/>
      <w:numFmt w:val="lowerLetter"/>
      <w:lvlText w:val="%8."/>
      <w:lvlJc w:val="left"/>
      <w:pPr>
        <w:tabs>
          <w:tab w:val="num" w:pos="3862"/>
        </w:tabs>
        <w:ind w:left="3862" w:hanging="360"/>
      </w:pPr>
    </w:lvl>
    <w:lvl w:ilvl="8" w:tplc="0409001B" w:tentative="1">
      <w:start w:val="1"/>
      <w:numFmt w:val="lowerRoman"/>
      <w:lvlText w:val="%9."/>
      <w:lvlJc w:val="right"/>
      <w:pPr>
        <w:tabs>
          <w:tab w:val="num" w:pos="4582"/>
        </w:tabs>
        <w:ind w:left="4582" w:hanging="180"/>
      </w:pPr>
    </w:lvl>
  </w:abstractNum>
  <w:abstractNum w:abstractNumId="14">
    <w:nsid w:val="6AE51428"/>
    <w:multiLevelType w:val="hybridMultilevel"/>
    <w:tmpl w:val="82A45B52"/>
    <w:lvl w:ilvl="0" w:tplc="A1C8FD50">
      <w:start w:val="1"/>
      <w:numFmt w:val="decimal"/>
      <w:lvlText w:val="[%1]"/>
      <w:lvlJc w:val="left"/>
      <w:pPr>
        <w:ind w:left="720" w:hanging="360"/>
      </w:pPr>
      <w:rPr>
        <w:rFonts w:ascii="Times New Roman" w:hAnsi="Times New Roman"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B0A3B17"/>
    <w:multiLevelType w:val="hybridMultilevel"/>
    <w:tmpl w:val="81B8EEB4"/>
    <w:lvl w:ilvl="0" w:tplc="DE86784C">
      <w:start w:val="1"/>
      <w:numFmt w:val="decimal"/>
      <w:lvlText w:val="%1."/>
      <w:lvlJc w:val="left"/>
      <w:pPr>
        <w:ind w:left="720" w:hanging="360"/>
      </w:pPr>
      <w:rPr>
        <w:rFonts w:ascii="Times New Roman" w:hAnsi="Times New Roman"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17">
    <w:nsid w:val="6EE76E8A"/>
    <w:multiLevelType w:val="hybridMultilevel"/>
    <w:tmpl w:val="5EEE6916"/>
    <w:lvl w:ilvl="0" w:tplc="2B48F73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16"/>
  </w:num>
  <w:num w:numId="4">
    <w:abstractNumId w:val="7"/>
  </w:num>
  <w:num w:numId="5">
    <w:abstractNumId w:val="10"/>
  </w:num>
  <w:num w:numId="6">
    <w:abstractNumId w:val="13"/>
  </w:num>
  <w:num w:numId="7">
    <w:abstractNumId w:val="11"/>
  </w:num>
  <w:num w:numId="8">
    <w:abstractNumId w:val="9"/>
  </w:num>
  <w:num w:numId="9">
    <w:abstractNumId w:val="6"/>
  </w:num>
  <w:num w:numId="10">
    <w:abstractNumId w:val="1"/>
  </w:num>
  <w:num w:numId="11">
    <w:abstractNumId w:val="0"/>
  </w:num>
  <w:num w:numId="12">
    <w:abstractNumId w:val="3"/>
  </w:num>
  <w:num w:numId="13">
    <w:abstractNumId w:val="2"/>
  </w:num>
  <w:num w:numId="14">
    <w:abstractNumId w:val="4"/>
  </w:num>
  <w:num w:numId="15">
    <w:abstractNumId w:val="15"/>
  </w:num>
  <w:num w:numId="16">
    <w:abstractNumId w:val="5"/>
  </w:num>
  <w:num w:numId="17">
    <w:abstractNumId w:val="14"/>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AC6"/>
    <w:rsid w:val="000013CF"/>
    <w:rsid w:val="0000191B"/>
    <w:rsid w:val="00002882"/>
    <w:rsid w:val="0000385F"/>
    <w:rsid w:val="00005EFC"/>
    <w:rsid w:val="00007744"/>
    <w:rsid w:val="000106D0"/>
    <w:rsid w:val="00012CEF"/>
    <w:rsid w:val="00014633"/>
    <w:rsid w:val="00014F2A"/>
    <w:rsid w:val="00015F2A"/>
    <w:rsid w:val="00017858"/>
    <w:rsid w:val="00027142"/>
    <w:rsid w:val="000279BE"/>
    <w:rsid w:val="00034C84"/>
    <w:rsid w:val="00041670"/>
    <w:rsid w:val="000416A3"/>
    <w:rsid w:val="000437AE"/>
    <w:rsid w:val="00044C49"/>
    <w:rsid w:val="000474E3"/>
    <w:rsid w:val="00047710"/>
    <w:rsid w:val="000523C5"/>
    <w:rsid w:val="00053FB7"/>
    <w:rsid w:val="00055D84"/>
    <w:rsid w:val="0006020A"/>
    <w:rsid w:val="00060330"/>
    <w:rsid w:val="00060F5C"/>
    <w:rsid w:val="00061D77"/>
    <w:rsid w:val="00062720"/>
    <w:rsid w:val="00065191"/>
    <w:rsid w:val="00066063"/>
    <w:rsid w:val="0007017F"/>
    <w:rsid w:val="0007154C"/>
    <w:rsid w:val="0007236F"/>
    <w:rsid w:val="00073635"/>
    <w:rsid w:val="00076C16"/>
    <w:rsid w:val="000776D4"/>
    <w:rsid w:val="0007770C"/>
    <w:rsid w:val="00080CCD"/>
    <w:rsid w:val="000830A2"/>
    <w:rsid w:val="00083B9D"/>
    <w:rsid w:val="00083DD6"/>
    <w:rsid w:val="00085121"/>
    <w:rsid w:val="000851E3"/>
    <w:rsid w:val="00086551"/>
    <w:rsid w:val="000877AC"/>
    <w:rsid w:val="00087876"/>
    <w:rsid w:val="00087AF7"/>
    <w:rsid w:val="0009006A"/>
    <w:rsid w:val="00090B78"/>
    <w:rsid w:val="00093380"/>
    <w:rsid w:val="000934BE"/>
    <w:rsid w:val="00094EB8"/>
    <w:rsid w:val="00095C3E"/>
    <w:rsid w:val="00096883"/>
    <w:rsid w:val="000973CC"/>
    <w:rsid w:val="00097958"/>
    <w:rsid w:val="00097E2D"/>
    <w:rsid w:val="000A1403"/>
    <w:rsid w:val="000A15DA"/>
    <w:rsid w:val="000A592D"/>
    <w:rsid w:val="000A643C"/>
    <w:rsid w:val="000A7ACA"/>
    <w:rsid w:val="000B0641"/>
    <w:rsid w:val="000B26B5"/>
    <w:rsid w:val="000B5480"/>
    <w:rsid w:val="000B682B"/>
    <w:rsid w:val="000B6F34"/>
    <w:rsid w:val="000C03DA"/>
    <w:rsid w:val="000C4B17"/>
    <w:rsid w:val="000C730A"/>
    <w:rsid w:val="000D099B"/>
    <w:rsid w:val="000D50C8"/>
    <w:rsid w:val="000D6591"/>
    <w:rsid w:val="000D6BC3"/>
    <w:rsid w:val="000E0482"/>
    <w:rsid w:val="000E0AE1"/>
    <w:rsid w:val="000E0C84"/>
    <w:rsid w:val="000E0CE9"/>
    <w:rsid w:val="000E0E3C"/>
    <w:rsid w:val="000E0E3D"/>
    <w:rsid w:val="000E1C9D"/>
    <w:rsid w:val="000E28E0"/>
    <w:rsid w:val="000E46C5"/>
    <w:rsid w:val="000E4FD6"/>
    <w:rsid w:val="000E708C"/>
    <w:rsid w:val="000F279B"/>
    <w:rsid w:val="000F29E1"/>
    <w:rsid w:val="000F61E2"/>
    <w:rsid w:val="000F7ED5"/>
    <w:rsid w:val="0010046E"/>
    <w:rsid w:val="00102A61"/>
    <w:rsid w:val="001041EB"/>
    <w:rsid w:val="00104BF1"/>
    <w:rsid w:val="00106F02"/>
    <w:rsid w:val="001078A8"/>
    <w:rsid w:val="00107904"/>
    <w:rsid w:val="001100ED"/>
    <w:rsid w:val="00110F7A"/>
    <w:rsid w:val="001129DE"/>
    <w:rsid w:val="0011369D"/>
    <w:rsid w:val="00113F18"/>
    <w:rsid w:val="00114470"/>
    <w:rsid w:val="00117326"/>
    <w:rsid w:val="00117C85"/>
    <w:rsid w:val="00121C37"/>
    <w:rsid w:val="00122833"/>
    <w:rsid w:val="00125266"/>
    <w:rsid w:val="00125C41"/>
    <w:rsid w:val="00126B1A"/>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3387"/>
    <w:rsid w:val="00154C55"/>
    <w:rsid w:val="00156FAD"/>
    <w:rsid w:val="00157C06"/>
    <w:rsid w:val="00161845"/>
    <w:rsid w:val="00162849"/>
    <w:rsid w:val="00166432"/>
    <w:rsid w:val="00167012"/>
    <w:rsid w:val="001671A8"/>
    <w:rsid w:val="0016761A"/>
    <w:rsid w:val="00167BE2"/>
    <w:rsid w:val="00170940"/>
    <w:rsid w:val="00171A1D"/>
    <w:rsid w:val="0017238E"/>
    <w:rsid w:val="00177E2C"/>
    <w:rsid w:val="00180992"/>
    <w:rsid w:val="00180FD2"/>
    <w:rsid w:val="00180FD4"/>
    <w:rsid w:val="00181509"/>
    <w:rsid w:val="00181965"/>
    <w:rsid w:val="001824B5"/>
    <w:rsid w:val="001837E5"/>
    <w:rsid w:val="00185202"/>
    <w:rsid w:val="00187B69"/>
    <w:rsid w:val="0019050C"/>
    <w:rsid w:val="00192E8C"/>
    <w:rsid w:val="0019391D"/>
    <w:rsid w:val="00193A56"/>
    <w:rsid w:val="00195579"/>
    <w:rsid w:val="001A002C"/>
    <w:rsid w:val="001A0839"/>
    <w:rsid w:val="001A33EF"/>
    <w:rsid w:val="001A7D56"/>
    <w:rsid w:val="001B2439"/>
    <w:rsid w:val="001B2D82"/>
    <w:rsid w:val="001B2EF9"/>
    <w:rsid w:val="001B3B72"/>
    <w:rsid w:val="001B4AB3"/>
    <w:rsid w:val="001B5250"/>
    <w:rsid w:val="001B5719"/>
    <w:rsid w:val="001B621C"/>
    <w:rsid w:val="001B64D0"/>
    <w:rsid w:val="001B7915"/>
    <w:rsid w:val="001C0FE6"/>
    <w:rsid w:val="001C19EB"/>
    <w:rsid w:val="001C1DDC"/>
    <w:rsid w:val="001C29F0"/>
    <w:rsid w:val="001C3094"/>
    <w:rsid w:val="001C7AC5"/>
    <w:rsid w:val="001D04CA"/>
    <w:rsid w:val="001D19C3"/>
    <w:rsid w:val="001D218B"/>
    <w:rsid w:val="001E1922"/>
    <w:rsid w:val="001E2071"/>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608E"/>
    <w:rsid w:val="002073B6"/>
    <w:rsid w:val="002076CA"/>
    <w:rsid w:val="002079DD"/>
    <w:rsid w:val="00212DCC"/>
    <w:rsid w:val="002141C1"/>
    <w:rsid w:val="00215A82"/>
    <w:rsid w:val="00216F2A"/>
    <w:rsid w:val="0021758D"/>
    <w:rsid w:val="00220914"/>
    <w:rsid w:val="00221D61"/>
    <w:rsid w:val="00221FB3"/>
    <w:rsid w:val="00224456"/>
    <w:rsid w:val="00225BEA"/>
    <w:rsid w:val="00230440"/>
    <w:rsid w:val="00230AAB"/>
    <w:rsid w:val="00231A19"/>
    <w:rsid w:val="00232081"/>
    <w:rsid w:val="00232DA1"/>
    <w:rsid w:val="002378BD"/>
    <w:rsid w:val="00237B26"/>
    <w:rsid w:val="00240303"/>
    <w:rsid w:val="002405FD"/>
    <w:rsid w:val="0024180A"/>
    <w:rsid w:val="0024268D"/>
    <w:rsid w:val="002451FC"/>
    <w:rsid w:val="00250442"/>
    <w:rsid w:val="00250A66"/>
    <w:rsid w:val="00254EC2"/>
    <w:rsid w:val="002550AB"/>
    <w:rsid w:val="00256322"/>
    <w:rsid w:val="002575A8"/>
    <w:rsid w:val="00260476"/>
    <w:rsid w:val="00261B88"/>
    <w:rsid w:val="0026229E"/>
    <w:rsid w:val="002622CD"/>
    <w:rsid w:val="00266574"/>
    <w:rsid w:val="002668F8"/>
    <w:rsid w:val="00270E78"/>
    <w:rsid w:val="00271390"/>
    <w:rsid w:val="00271AB9"/>
    <w:rsid w:val="0027245E"/>
    <w:rsid w:val="00273771"/>
    <w:rsid w:val="002743A4"/>
    <w:rsid w:val="00274BCC"/>
    <w:rsid w:val="00275406"/>
    <w:rsid w:val="002769E7"/>
    <w:rsid w:val="0027781E"/>
    <w:rsid w:val="00277D54"/>
    <w:rsid w:val="00281882"/>
    <w:rsid w:val="00281D99"/>
    <w:rsid w:val="002821B9"/>
    <w:rsid w:val="00282411"/>
    <w:rsid w:val="0028450D"/>
    <w:rsid w:val="00291EBF"/>
    <w:rsid w:val="0029398F"/>
    <w:rsid w:val="00295E17"/>
    <w:rsid w:val="00296D8E"/>
    <w:rsid w:val="002A0772"/>
    <w:rsid w:val="002A103D"/>
    <w:rsid w:val="002A3F1B"/>
    <w:rsid w:val="002B0601"/>
    <w:rsid w:val="002B10C7"/>
    <w:rsid w:val="002B199B"/>
    <w:rsid w:val="002B66EF"/>
    <w:rsid w:val="002B6EC9"/>
    <w:rsid w:val="002B7609"/>
    <w:rsid w:val="002C0665"/>
    <w:rsid w:val="002C2C92"/>
    <w:rsid w:val="002C4749"/>
    <w:rsid w:val="002C6317"/>
    <w:rsid w:val="002D07B9"/>
    <w:rsid w:val="002D0C71"/>
    <w:rsid w:val="002D0F04"/>
    <w:rsid w:val="002D31A6"/>
    <w:rsid w:val="002D4580"/>
    <w:rsid w:val="002D4A56"/>
    <w:rsid w:val="002D797A"/>
    <w:rsid w:val="002E0BC4"/>
    <w:rsid w:val="002E184C"/>
    <w:rsid w:val="002E2CAE"/>
    <w:rsid w:val="002E6409"/>
    <w:rsid w:val="002E718D"/>
    <w:rsid w:val="002F137A"/>
    <w:rsid w:val="002F267D"/>
    <w:rsid w:val="002F3D30"/>
    <w:rsid w:val="002F41A4"/>
    <w:rsid w:val="002F48E3"/>
    <w:rsid w:val="002F6BBA"/>
    <w:rsid w:val="002F6DFA"/>
    <w:rsid w:val="002F7C5F"/>
    <w:rsid w:val="0030038F"/>
    <w:rsid w:val="00302D7F"/>
    <w:rsid w:val="00305125"/>
    <w:rsid w:val="00306442"/>
    <w:rsid w:val="003069FB"/>
    <w:rsid w:val="00307BE0"/>
    <w:rsid w:val="00312C0C"/>
    <w:rsid w:val="00313AA2"/>
    <w:rsid w:val="003200C9"/>
    <w:rsid w:val="003209C7"/>
    <w:rsid w:val="00322DA9"/>
    <w:rsid w:val="0032306D"/>
    <w:rsid w:val="00326170"/>
    <w:rsid w:val="003263E9"/>
    <w:rsid w:val="00326D35"/>
    <w:rsid w:val="003310D5"/>
    <w:rsid w:val="00331183"/>
    <w:rsid w:val="00332063"/>
    <w:rsid w:val="00333AB9"/>
    <w:rsid w:val="00333C06"/>
    <w:rsid w:val="0033459B"/>
    <w:rsid w:val="00335BE8"/>
    <w:rsid w:val="00337C87"/>
    <w:rsid w:val="0034265F"/>
    <w:rsid w:val="00343A49"/>
    <w:rsid w:val="00346441"/>
    <w:rsid w:val="003475EC"/>
    <w:rsid w:val="0035076B"/>
    <w:rsid w:val="00350FD2"/>
    <w:rsid w:val="00352BEB"/>
    <w:rsid w:val="00353885"/>
    <w:rsid w:val="00361EB1"/>
    <w:rsid w:val="003629D1"/>
    <w:rsid w:val="003637CE"/>
    <w:rsid w:val="003715EC"/>
    <w:rsid w:val="00373753"/>
    <w:rsid w:val="00376867"/>
    <w:rsid w:val="00376A96"/>
    <w:rsid w:val="003772AC"/>
    <w:rsid w:val="00381E56"/>
    <w:rsid w:val="003826FF"/>
    <w:rsid w:val="00385E4F"/>
    <w:rsid w:val="00393D9D"/>
    <w:rsid w:val="00393E61"/>
    <w:rsid w:val="00396D02"/>
    <w:rsid w:val="003A0041"/>
    <w:rsid w:val="003A1C3E"/>
    <w:rsid w:val="003A2970"/>
    <w:rsid w:val="003A5088"/>
    <w:rsid w:val="003A77DC"/>
    <w:rsid w:val="003A7D80"/>
    <w:rsid w:val="003B0E46"/>
    <w:rsid w:val="003B14AA"/>
    <w:rsid w:val="003B19C7"/>
    <w:rsid w:val="003B25A5"/>
    <w:rsid w:val="003B3120"/>
    <w:rsid w:val="003B3537"/>
    <w:rsid w:val="003B4C44"/>
    <w:rsid w:val="003B567E"/>
    <w:rsid w:val="003B6932"/>
    <w:rsid w:val="003B79EB"/>
    <w:rsid w:val="003B7ED0"/>
    <w:rsid w:val="003C0D91"/>
    <w:rsid w:val="003C3E42"/>
    <w:rsid w:val="003C4B05"/>
    <w:rsid w:val="003C5E1E"/>
    <w:rsid w:val="003C72E2"/>
    <w:rsid w:val="003D07D2"/>
    <w:rsid w:val="003D3062"/>
    <w:rsid w:val="003D3718"/>
    <w:rsid w:val="003D5B84"/>
    <w:rsid w:val="003D79CF"/>
    <w:rsid w:val="003E0207"/>
    <w:rsid w:val="003E304D"/>
    <w:rsid w:val="003E4AA5"/>
    <w:rsid w:val="003F0964"/>
    <w:rsid w:val="003F18A1"/>
    <w:rsid w:val="003F1D93"/>
    <w:rsid w:val="003F2EB6"/>
    <w:rsid w:val="003F4897"/>
    <w:rsid w:val="003F6587"/>
    <w:rsid w:val="0040279C"/>
    <w:rsid w:val="00402C7D"/>
    <w:rsid w:val="00403A74"/>
    <w:rsid w:val="00407351"/>
    <w:rsid w:val="00407C2D"/>
    <w:rsid w:val="004106DF"/>
    <w:rsid w:val="00411A71"/>
    <w:rsid w:val="00411C0C"/>
    <w:rsid w:val="0041399A"/>
    <w:rsid w:val="00414535"/>
    <w:rsid w:val="00414EA0"/>
    <w:rsid w:val="00420D64"/>
    <w:rsid w:val="00420F83"/>
    <w:rsid w:val="00421F12"/>
    <w:rsid w:val="00424E85"/>
    <w:rsid w:val="00425BE9"/>
    <w:rsid w:val="00427072"/>
    <w:rsid w:val="0043585C"/>
    <w:rsid w:val="0043594B"/>
    <w:rsid w:val="00441F35"/>
    <w:rsid w:val="00443205"/>
    <w:rsid w:val="004439D2"/>
    <w:rsid w:val="004458CD"/>
    <w:rsid w:val="004503E9"/>
    <w:rsid w:val="00453463"/>
    <w:rsid w:val="004550E4"/>
    <w:rsid w:val="0046243A"/>
    <w:rsid w:val="004637E8"/>
    <w:rsid w:val="00467368"/>
    <w:rsid w:val="004674CD"/>
    <w:rsid w:val="00470BA8"/>
    <w:rsid w:val="004710EE"/>
    <w:rsid w:val="00472E56"/>
    <w:rsid w:val="004740EC"/>
    <w:rsid w:val="004816D7"/>
    <w:rsid w:val="004819CF"/>
    <w:rsid w:val="00481DA2"/>
    <w:rsid w:val="00482432"/>
    <w:rsid w:val="00484866"/>
    <w:rsid w:val="004859D6"/>
    <w:rsid w:val="00485FD1"/>
    <w:rsid w:val="0048797E"/>
    <w:rsid w:val="00487DD3"/>
    <w:rsid w:val="004902C8"/>
    <w:rsid w:val="004905D4"/>
    <w:rsid w:val="00492E44"/>
    <w:rsid w:val="004947B9"/>
    <w:rsid w:val="0049514C"/>
    <w:rsid w:val="00496DFD"/>
    <w:rsid w:val="004A0C8B"/>
    <w:rsid w:val="004A187E"/>
    <w:rsid w:val="004A335F"/>
    <w:rsid w:val="004A3F3D"/>
    <w:rsid w:val="004A4FDB"/>
    <w:rsid w:val="004A5FC0"/>
    <w:rsid w:val="004A7C83"/>
    <w:rsid w:val="004B1FFE"/>
    <w:rsid w:val="004B2F8C"/>
    <w:rsid w:val="004B4EDE"/>
    <w:rsid w:val="004B589F"/>
    <w:rsid w:val="004B661B"/>
    <w:rsid w:val="004B6A75"/>
    <w:rsid w:val="004B76DC"/>
    <w:rsid w:val="004C0B2C"/>
    <w:rsid w:val="004C2F5B"/>
    <w:rsid w:val="004C3BEB"/>
    <w:rsid w:val="004C584E"/>
    <w:rsid w:val="004C59ED"/>
    <w:rsid w:val="004C65D5"/>
    <w:rsid w:val="004D0A6B"/>
    <w:rsid w:val="004D52FE"/>
    <w:rsid w:val="004D7295"/>
    <w:rsid w:val="004E140A"/>
    <w:rsid w:val="004E154B"/>
    <w:rsid w:val="004E1914"/>
    <w:rsid w:val="004E3613"/>
    <w:rsid w:val="004E3AFD"/>
    <w:rsid w:val="004E3CAD"/>
    <w:rsid w:val="004E6C69"/>
    <w:rsid w:val="004F101E"/>
    <w:rsid w:val="004F2A11"/>
    <w:rsid w:val="004F3166"/>
    <w:rsid w:val="004F3208"/>
    <w:rsid w:val="004F54D2"/>
    <w:rsid w:val="004F6193"/>
    <w:rsid w:val="00501713"/>
    <w:rsid w:val="0050509E"/>
    <w:rsid w:val="00505F41"/>
    <w:rsid w:val="0050794C"/>
    <w:rsid w:val="0051075B"/>
    <w:rsid w:val="00511236"/>
    <w:rsid w:val="00511539"/>
    <w:rsid w:val="00512DE0"/>
    <w:rsid w:val="0051361F"/>
    <w:rsid w:val="0051421C"/>
    <w:rsid w:val="00515455"/>
    <w:rsid w:val="00516317"/>
    <w:rsid w:val="005174FF"/>
    <w:rsid w:val="00520EC3"/>
    <w:rsid w:val="0052138C"/>
    <w:rsid w:val="005213A1"/>
    <w:rsid w:val="00523362"/>
    <w:rsid w:val="005237B8"/>
    <w:rsid w:val="00523B26"/>
    <w:rsid w:val="0052442F"/>
    <w:rsid w:val="00526CFA"/>
    <w:rsid w:val="00530CAF"/>
    <w:rsid w:val="0053172B"/>
    <w:rsid w:val="00532941"/>
    <w:rsid w:val="00535A39"/>
    <w:rsid w:val="005373E3"/>
    <w:rsid w:val="00537BEA"/>
    <w:rsid w:val="00540DCE"/>
    <w:rsid w:val="00540DD7"/>
    <w:rsid w:val="00541CF6"/>
    <w:rsid w:val="00541F86"/>
    <w:rsid w:val="00541FCB"/>
    <w:rsid w:val="0054283A"/>
    <w:rsid w:val="00545E9C"/>
    <w:rsid w:val="00546195"/>
    <w:rsid w:val="00547658"/>
    <w:rsid w:val="0054768C"/>
    <w:rsid w:val="00550842"/>
    <w:rsid w:val="0055649A"/>
    <w:rsid w:val="0056159B"/>
    <w:rsid w:val="00563102"/>
    <w:rsid w:val="00572013"/>
    <w:rsid w:val="00573257"/>
    <w:rsid w:val="00575309"/>
    <w:rsid w:val="0057739C"/>
    <w:rsid w:val="005778F7"/>
    <w:rsid w:val="00577A3F"/>
    <w:rsid w:val="005805DF"/>
    <w:rsid w:val="00581C6C"/>
    <w:rsid w:val="0058326E"/>
    <w:rsid w:val="005833B8"/>
    <w:rsid w:val="00583A03"/>
    <w:rsid w:val="005841BA"/>
    <w:rsid w:val="00584301"/>
    <w:rsid w:val="005877F2"/>
    <w:rsid w:val="00592442"/>
    <w:rsid w:val="0059283B"/>
    <w:rsid w:val="00593E92"/>
    <w:rsid w:val="005949F1"/>
    <w:rsid w:val="005956F7"/>
    <w:rsid w:val="00595CB2"/>
    <w:rsid w:val="005978C8"/>
    <w:rsid w:val="005A0A0F"/>
    <w:rsid w:val="005A1AD0"/>
    <w:rsid w:val="005A2361"/>
    <w:rsid w:val="005A24ED"/>
    <w:rsid w:val="005A2573"/>
    <w:rsid w:val="005A4783"/>
    <w:rsid w:val="005A6B87"/>
    <w:rsid w:val="005B0825"/>
    <w:rsid w:val="005B0A84"/>
    <w:rsid w:val="005B2C8C"/>
    <w:rsid w:val="005B2D16"/>
    <w:rsid w:val="005B4DAF"/>
    <w:rsid w:val="005B56A0"/>
    <w:rsid w:val="005B5788"/>
    <w:rsid w:val="005B60D5"/>
    <w:rsid w:val="005B693A"/>
    <w:rsid w:val="005C007C"/>
    <w:rsid w:val="005C11D6"/>
    <w:rsid w:val="005C12EA"/>
    <w:rsid w:val="005C1759"/>
    <w:rsid w:val="005C234E"/>
    <w:rsid w:val="005D02EE"/>
    <w:rsid w:val="005D0C1B"/>
    <w:rsid w:val="005D210E"/>
    <w:rsid w:val="005D3D27"/>
    <w:rsid w:val="005D464B"/>
    <w:rsid w:val="005D7D3A"/>
    <w:rsid w:val="005D7EB1"/>
    <w:rsid w:val="005E447B"/>
    <w:rsid w:val="005E6EF7"/>
    <w:rsid w:val="005E736A"/>
    <w:rsid w:val="005E75FC"/>
    <w:rsid w:val="005F042D"/>
    <w:rsid w:val="005F3D1C"/>
    <w:rsid w:val="005F3E46"/>
    <w:rsid w:val="005F534C"/>
    <w:rsid w:val="005F6CC1"/>
    <w:rsid w:val="005F75F8"/>
    <w:rsid w:val="0060109B"/>
    <w:rsid w:val="006044C7"/>
    <w:rsid w:val="006123B6"/>
    <w:rsid w:val="00613977"/>
    <w:rsid w:val="0061627D"/>
    <w:rsid w:val="006206C7"/>
    <w:rsid w:val="006211BE"/>
    <w:rsid w:val="00622EC4"/>
    <w:rsid w:val="00623F82"/>
    <w:rsid w:val="0062488B"/>
    <w:rsid w:val="006327F1"/>
    <w:rsid w:val="00636167"/>
    <w:rsid w:val="00644417"/>
    <w:rsid w:val="00645B6A"/>
    <w:rsid w:val="006469FC"/>
    <w:rsid w:val="00647075"/>
    <w:rsid w:val="006478D0"/>
    <w:rsid w:val="00652EBE"/>
    <w:rsid w:val="006549EF"/>
    <w:rsid w:val="00655C14"/>
    <w:rsid w:val="00656420"/>
    <w:rsid w:val="00662070"/>
    <w:rsid w:val="0066237A"/>
    <w:rsid w:val="006628A9"/>
    <w:rsid w:val="00663B8C"/>
    <w:rsid w:val="00665A9F"/>
    <w:rsid w:val="00665B37"/>
    <w:rsid w:val="006719D8"/>
    <w:rsid w:val="0067364F"/>
    <w:rsid w:val="00675D81"/>
    <w:rsid w:val="00676455"/>
    <w:rsid w:val="00676EB9"/>
    <w:rsid w:val="00682B00"/>
    <w:rsid w:val="00683D41"/>
    <w:rsid w:val="00685222"/>
    <w:rsid w:val="00685AA5"/>
    <w:rsid w:val="00685FB4"/>
    <w:rsid w:val="006863DA"/>
    <w:rsid w:val="00687CA7"/>
    <w:rsid w:val="00687D3A"/>
    <w:rsid w:val="006925E2"/>
    <w:rsid w:val="006A0231"/>
    <w:rsid w:val="006A090C"/>
    <w:rsid w:val="006A0C07"/>
    <w:rsid w:val="006A1384"/>
    <w:rsid w:val="006A34DA"/>
    <w:rsid w:val="006A4F09"/>
    <w:rsid w:val="006A5A5F"/>
    <w:rsid w:val="006A6AEE"/>
    <w:rsid w:val="006B027E"/>
    <w:rsid w:val="006B0965"/>
    <w:rsid w:val="006B104B"/>
    <w:rsid w:val="006B6754"/>
    <w:rsid w:val="006B71FD"/>
    <w:rsid w:val="006C0661"/>
    <w:rsid w:val="006C0E3B"/>
    <w:rsid w:val="006C18AF"/>
    <w:rsid w:val="006C1D12"/>
    <w:rsid w:val="006D29E6"/>
    <w:rsid w:val="006D449D"/>
    <w:rsid w:val="006D5851"/>
    <w:rsid w:val="006D5DAA"/>
    <w:rsid w:val="006D60D9"/>
    <w:rsid w:val="006D6178"/>
    <w:rsid w:val="006E0184"/>
    <w:rsid w:val="006E361D"/>
    <w:rsid w:val="006E3810"/>
    <w:rsid w:val="006E44B1"/>
    <w:rsid w:val="006E492E"/>
    <w:rsid w:val="006E4C9D"/>
    <w:rsid w:val="006E5DCF"/>
    <w:rsid w:val="006E669C"/>
    <w:rsid w:val="006E73B0"/>
    <w:rsid w:val="006E786F"/>
    <w:rsid w:val="006F01C3"/>
    <w:rsid w:val="006F404C"/>
    <w:rsid w:val="006F5B9E"/>
    <w:rsid w:val="006F7480"/>
    <w:rsid w:val="0070124C"/>
    <w:rsid w:val="007017C6"/>
    <w:rsid w:val="007027BB"/>
    <w:rsid w:val="00705140"/>
    <w:rsid w:val="007066C5"/>
    <w:rsid w:val="00707B5C"/>
    <w:rsid w:val="00712FFF"/>
    <w:rsid w:val="007142C8"/>
    <w:rsid w:val="00717A32"/>
    <w:rsid w:val="00717BE4"/>
    <w:rsid w:val="00720729"/>
    <w:rsid w:val="007212E2"/>
    <w:rsid w:val="00723DEB"/>
    <w:rsid w:val="007240E7"/>
    <w:rsid w:val="00727CC7"/>
    <w:rsid w:val="00730488"/>
    <w:rsid w:val="00731AEB"/>
    <w:rsid w:val="00736FCF"/>
    <w:rsid w:val="00740C36"/>
    <w:rsid w:val="00741A8F"/>
    <w:rsid w:val="00742008"/>
    <w:rsid w:val="00742BD4"/>
    <w:rsid w:val="00743BA0"/>
    <w:rsid w:val="007454CC"/>
    <w:rsid w:val="00745686"/>
    <w:rsid w:val="00745C1A"/>
    <w:rsid w:val="00747DFD"/>
    <w:rsid w:val="00750CAF"/>
    <w:rsid w:val="007522A5"/>
    <w:rsid w:val="00754329"/>
    <w:rsid w:val="0075442C"/>
    <w:rsid w:val="007547A1"/>
    <w:rsid w:val="00754B05"/>
    <w:rsid w:val="00756A93"/>
    <w:rsid w:val="0075769A"/>
    <w:rsid w:val="0076437B"/>
    <w:rsid w:val="00765DEF"/>
    <w:rsid w:val="00766E46"/>
    <w:rsid w:val="00770E6E"/>
    <w:rsid w:val="00771A7C"/>
    <w:rsid w:val="0077230A"/>
    <w:rsid w:val="00772725"/>
    <w:rsid w:val="00773EB7"/>
    <w:rsid w:val="007751AA"/>
    <w:rsid w:val="00777AD7"/>
    <w:rsid w:val="00780566"/>
    <w:rsid w:val="00781421"/>
    <w:rsid w:val="007912CE"/>
    <w:rsid w:val="0079451D"/>
    <w:rsid w:val="007A04C8"/>
    <w:rsid w:val="007A150A"/>
    <w:rsid w:val="007A3102"/>
    <w:rsid w:val="007A3B30"/>
    <w:rsid w:val="007A3FC0"/>
    <w:rsid w:val="007A49BA"/>
    <w:rsid w:val="007A609F"/>
    <w:rsid w:val="007A7484"/>
    <w:rsid w:val="007B57A1"/>
    <w:rsid w:val="007B7535"/>
    <w:rsid w:val="007C0D3D"/>
    <w:rsid w:val="007C2A08"/>
    <w:rsid w:val="007C60D8"/>
    <w:rsid w:val="007D0AC6"/>
    <w:rsid w:val="007D2077"/>
    <w:rsid w:val="007D4982"/>
    <w:rsid w:val="007D7A78"/>
    <w:rsid w:val="007E5812"/>
    <w:rsid w:val="007E68A5"/>
    <w:rsid w:val="007F0A6C"/>
    <w:rsid w:val="007F1EC7"/>
    <w:rsid w:val="007F286F"/>
    <w:rsid w:val="007F2C82"/>
    <w:rsid w:val="007F36F4"/>
    <w:rsid w:val="007F38BA"/>
    <w:rsid w:val="007F3EAF"/>
    <w:rsid w:val="007F40B0"/>
    <w:rsid w:val="007F5F38"/>
    <w:rsid w:val="007F665B"/>
    <w:rsid w:val="008042C8"/>
    <w:rsid w:val="00805CFD"/>
    <w:rsid w:val="00807F15"/>
    <w:rsid w:val="0081359D"/>
    <w:rsid w:val="008136A0"/>
    <w:rsid w:val="00813CDD"/>
    <w:rsid w:val="00814164"/>
    <w:rsid w:val="00814AD7"/>
    <w:rsid w:val="00815A2E"/>
    <w:rsid w:val="008168B9"/>
    <w:rsid w:val="00820B4E"/>
    <w:rsid w:val="00822488"/>
    <w:rsid w:val="00823B38"/>
    <w:rsid w:val="00823F1C"/>
    <w:rsid w:val="00824697"/>
    <w:rsid w:val="00827A30"/>
    <w:rsid w:val="008318B8"/>
    <w:rsid w:val="00831DDD"/>
    <w:rsid w:val="00832386"/>
    <w:rsid w:val="008332DA"/>
    <w:rsid w:val="008344C2"/>
    <w:rsid w:val="00834BAC"/>
    <w:rsid w:val="00836D01"/>
    <w:rsid w:val="008379F3"/>
    <w:rsid w:val="00837EA3"/>
    <w:rsid w:val="008439A0"/>
    <w:rsid w:val="00843BE9"/>
    <w:rsid w:val="008508FF"/>
    <w:rsid w:val="00850CAC"/>
    <w:rsid w:val="0085238C"/>
    <w:rsid w:val="008530DA"/>
    <w:rsid w:val="008538D0"/>
    <w:rsid w:val="00853BF4"/>
    <w:rsid w:val="00853DF2"/>
    <w:rsid w:val="00854ED5"/>
    <w:rsid w:val="00855965"/>
    <w:rsid w:val="00856356"/>
    <w:rsid w:val="008563F2"/>
    <w:rsid w:val="00860671"/>
    <w:rsid w:val="00862CD2"/>
    <w:rsid w:val="0086508B"/>
    <w:rsid w:val="00866E4F"/>
    <w:rsid w:val="0087156B"/>
    <w:rsid w:val="00872D7E"/>
    <w:rsid w:val="00873156"/>
    <w:rsid w:val="008754E6"/>
    <w:rsid w:val="0087776F"/>
    <w:rsid w:val="0088233C"/>
    <w:rsid w:val="0088280A"/>
    <w:rsid w:val="00883EB7"/>
    <w:rsid w:val="00885BE8"/>
    <w:rsid w:val="00891EA3"/>
    <w:rsid w:val="00892C9F"/>
    <w:rsid w:val="00892FBD"/>
    <w:rsid w:val="00893AD8"/>
    <w:rsid w:val="00893D2C"/>
    <w:rsid w:val="00894D11"/>
    <w:rsid w:val="0089523F"/>
    <w:rsid w:val="008967E5"/>
    <w:rsid w:val="00897BCF"/>
    <w:rsid w:val="008A07FE"/>
    <w:rsid w:val="008A12AD"/>
    <w:rsid w:val="008A1677"/>
    <w:rsid w:val="008A6436"/>
    <w:rsid w:val="008A6E5D"/>
    <w:rsid w:val="008A72BD"/>
    <w:rsid w:val="008B04B3"/>
    <w:rsid w:val="008B060F"/>
    <w:rsid w:val="008B144F"/>
    <w:rsid w:val="008B1A88"/>
    <w:rsid w:val="008B279B"/>
    <w:rsid w:val="008B3B85"/>
    <w:rsid w:val="008B42E3"/>
    <w:rsid w:val="008B4E8C"/>
    <w:rsid w:val="008B60B8"/>
    <w:rsid w:val="008C12BE"/>
    <w:rsid w:val="008C1B93"/>
    <w:rsid w:val="008C22C7"/>
    <w:rsid w:val="008C38EB"/>
    <w:rsid w:val="008C414B"/>
    <w:rsid w:val="008C5058"/>
    <w:rsid w:val="008C54EA"/>
    <w:rsid w:val="008C6701"/>
    <w:rsid w:val="008C671C"/>
    <w:rsid w:val="008D256D"/>
    <w:rsid w:val="008D28A9"/>
    <w:rsid w:val="008D2F4B"/>
    <w:rsid w:val="008D3BDF"/>
    <w:rsid w:val="008D79C1"/>
    <w:rsid w:val="008D7EA2"/>
    <w:rsid w:val="008E0F80"/>
    <w:rsid w:val="008E1CA4"/>
    <w:rsid w:val="008E2DAE"/>
    <w:rsid w:val="008E3FAA"/>
    <w:rsid w:val="008E737C"/>
    <w:rsid w:val="008F05B8"/>
    <w:rsid w:val="008F0C9D"/>
    <w:rsid w:val="008F0D5A"/>
    <w:rsid w:val="008F1C12"/>
    <w:rsid w:val="008F5A4B"/>
    <w:rsid w:val="008F5EF9"/>
    <w:rsid w:val="008F5F6F"/>
    <w:rsid w:val="008F71E9"/>
    <w:rsid w:val="00900EC1"/>
    <w:rsid w:val="00901214"/>
    <w:rsid w:val="00904D6D"/>
    <w:rsid w:val="00904EC8"/>
    <w:rsid w:val="00906227"/>
    <w:rsid w:val="00906951"/>
    <w:rsid w:val="0091187A"/>
    <w:rsid w:val="00912E7C"/>
    <w:rsid w:val="00912FBC"/>
    <w:rsid w:val="00913D3B"/>
    <w:rsid w:val="00913F75"/>
    <w:rsid w:val="00920B3F"/>
    <w:rsid w:val="00921D05"/>
    <w:rsid w:val="0092257C"/>
    <w:rsid w:val="00923121"/>
    <w:rsid w:val="009314C3"/>
    <w:rsid w:val="009317FD"/>
    <w:rsid w:val="009376EA"/>
    <w:rsid w:val="009406FF"/>
    <w:rsid w:val="00941203"/>
    <w:rsid w:val="009416C1"/>
    <w:rsid w:val="0094367D"/>
    <w:rsid w:val="009437B8"/>
    <w:rsid w:val="00943FA1"/>
    <w:rsid w:val="00945A5C"/>
    <w:rsid w:val="00946389"/>
    <w:rsid w:val="0094738D"/>
    <w:rsid w:val="00950EF7"/>
    <w:rsid w:val="00954DC1"/>
    <w:rsid w:val="00955462"/>
    <w:rsid w:val="00956EB6"/>
    <w:rsid w:val="00957C11"/>
    <w:rsid w:val="0096166B"/>
    <w:rsid w:val="009617A9"/>
    <w:rsid w:val="009661C3"/>
    <w:rsid w:val="009665BE"/>
    <w:rsid w:val="009673AB"/>
    <w:rsid w:val="009702D9"/>
    <w:rsid w:val="00970E84"/>
    <w:rsid w:val="00971153"/>
    <w:rsid w:val="00973FE2"/>
    <w:rsid w:val="00981036"/>
    <w:rsid w:val="00981E5F"/>
    <w:rsid w:val="00983846"/>
    <w:rsid w:val="009869B1"/>
    <w:rsid w:val="00990CC8"/>
    <w:rsid w:val="0099227E"/>
    <w:rsid w:val="009949C5"/>
    <w:rsid w:val="009A19B2"/>
    <w:rsid w:val="009B3EC0"/>
    <w:rsid w:val="009B5FE8"/>
    <w:rsid w:val="009B62B1"/>
    <w:rsid w:val="009B7297"/>
    <w:rsid w:val="009B76C2"/>
    <w:rsid w:val="009C080D"/>
    <w:rsid w:val="009C5293"/>
    <w:rsid w:val="009D41DF"/>
    <w:rsid w:val="009D709E"/>
    <w:rsid w:val="009E0249"/>
    <w:rsid w:val="009E0357"/>
    <w:rsid w:val="009E055A"/>
    <w:rsid w:val="009E0F0F"/>
    <w:rsid w:val="009E36AC"/>
    <w:rsid w:val="009E4FB4"/>
    <w:rsid w:val="009E5694"/>
    <w:rsid w:val="009E585B"/>
    <w:rsid w:val="009F040E"/>
    <w:rsid w:val="00A01765"/>
    <w:rsid w:val="00A02DD3"/>
    <w:rsid w:val="00A04D6C"/>
    <w:rsid w:val="00A05622"/>
    <w:rsid w:val="00A1136A"/>
    <w:rsid w:val="00A12100"/>
    <w:rsid w:val="00A16250"/>
    <w:rsid w:val="00A17296"/>
    <w:rsid w:val="00A17D28"/>
    <w:rsid w:val="00A21621"/>
    <w:rsid w:val="00A22457"/>
    <w:rsid w:val="00A22900"/>
    <w:rsid w:val="00A31E71"/>
    <w:rsid w:val="00A3340E"/>
    <w:rsid w:val="00A40A58"/>
    <w:rsid w:val="00A42248"/>
    <w:rsid w:val="00A426C8"/>
    <w:rsid w:val="00A42ABF"/>
    <w:rsid w:val="00A4413C"/>
    <w:rsid w:val="00A4427E"/>
    <w:rsid w:val="00A46733"/>
    <w:rsid w:val="00A46ECF"/>
    <w:rsid w:val="00A477B8"/>
    <w:rsid w:val="00A47AD5"/>
    <w:rsid w:val="00A47F03"/>
    <w:rsid w:val="00A51683"/>
    <w:rsid w:val="00A51892"/>
    <w:rsid w:val="00A52037"/>
    <w:rsid w:val="00A52149"/>
    <w:rsid w:val="00A5654D"/>
    <w:rsid w:val="00A5724F"/>
    <w:rsid w:val="00A6261F"/>
    <w:rsid w:val="00A62B8C"/>
    <w:rsid w:val="00A662A3"/>
    <w:rsid w:val="00A6697F"/>
    <w:rsid w:val="00A71C8A"/>
    <w:rsid w:val="00A71ED6"/>
    <w:rsid w:val="00A76021"/>
    <w:rsid w:val="00A77E76"/>
    <w:rsid w:val="00A80090"/>
    <w:rsid w:val="00A80114"/>
    <w:rsid w:val="00A85A64"/>
    <w:rsid w:val="00A917A7"/>
    <w:rsid w:val="00A93118"/>
    <w:rsid w:val="00AA22E8"/>
    <w:rsid w:val="00AA3EC5"/>
    <w:rsid w:val="00AA48F5"/>
    <w:rsid w:val="00AA4B39"/>
    <w:rsid w:val="00AA512B"/>
    <w:rsid w:val="00AA608B"/>
    <w:rsid w:val="00AA66F1"/>
    <w:rsid w:val="00AA77C0"/>
    <w:rsid w:val="00AB1CD7"/>
    <w:rsid w:val="00AB1F5C"/>
    <w:rsid w:val="00AB4311"/>
    <w:rsid w:val="00AB49DA"/>
    <w:rsid w:val="00AB59A7"/>
    <w:rsid w:val="00AB68F7"/>
    <w:rsid w:val="00AC077B"/>
    <w:rsid w:val="00AC0C82"/>
    <w:rsid w:val="00AC1F08"/>
    <w:rsid w:val="00AC42ED"/>
    <w:rsid w:val="00AC60ED"/>
    <w:rsid w:val="00AD2373"/>
    <w:rsid w:val="00AD493F"/>
    <w:rsid w:val="00AD564C"/>
    <w:rsid w:val="00AD7639"/>
    <w:rsid w:val="00AD7CC5"/>
    <w:rsid w:val="00AE3182"/>
    <w:rsid w:val="00AE43A3"/>
    <w:rsid w:val="00AF095A"/>
    <w:rsid w:val="00AF1119"/>
    <w:rsid w:val="00AF59C3"/>
    <w:rsid w:val="00B011BB"/>
    <w:rsid w:val="00B0163B"/>
    <w:rsid w:val="00B04312"/>
    <w:rsid w:val="00B0539A"/>
    <w:rsid w:val="00B06669"/>
    <w:rsid w:val="00B06F09"/>
    <w:rsid w:val="00B07DF0"/>
    <w:rsid w:val="00B14782"/>
    <w:rsid w:val="00B14B32"/>
    <w:rsid w:val="00B14BA4"/>
    <w:rsid w:val="00B14C9C"/>
    <w:rsid w:val="00B14E05"/>
    <w:rsid w:val="00B162E1"/>
    <w:rsid w:val="00B17156"/>
    <w:rsid w:val="00B17987"/>
    <w:rsid w:val="00B17A29"/>
    <w:rsid w:val="00B17D85"/>
    <w:rsid w:val="00B21966"/>
    <w:rsid w:val="00B2363C"/>
    <w:rsid w:val="00B252F9"/>
    <w:rsid w:val="00B25977"/>
    <w:rsid w:val="00B271D8"/>
    <w:rsid w:val="00B27C45"/>
    <w:rsid w:val="00B313EB"/>
    <w:rsid w:val="00B317FE"/>
    <w:rsid w:val="00B3198A"/>
    <w:rsid w:val="00B34812"/>
    <w:rsid w:val="00B357AE"/>
    <w:rsid w:val="00B37E57"/>
    <w:rsid w:val="00B42FA5"/>
    <w:rsid w:val="00B45817"/>
    <w:rsid w:val="00B514D3"/>
    <w:rsid w:val="00B51BC7"/>
    <w:rsid w:val="00B52134"/>
    <w:rsid w:val="00B52C0A"/>
    <w:rsid w:val="00B56063"/>
    <w:rsid w:val="00B570B0"/>
    <w:rsid w:val="00B57714"/>
    <w:rsid w:val="00B61620"/>
    <w:rsid w:val="00B64061"/>
    <w:rsid w:val="00B65BB6"/>
    <w:rsid w:val="00B7048C"/>
    <w:rsid w:val="00B71D8A"/>
    <w:rsid w:val="00B73F7D"/>
    <w:rsid w:val="00B743B9"/>
    <w:rsid w:val="00B768D7"/>
    <w:rsid w:val="00B778A3"/>
    <w:rsid w:val="00B809F3"/>
    <w:rsid w:val="00B85932"/>
    <w:rsid w:val="00B85AAB"/>
    <w:rsid w:val="00B86D7E"/>
    <w:rsid w:val="00B87588"/>
    <w:rsid w:val="00B92474"/>
    <w:rsid w:val="00BA2419"/>
    <w:rsid w:val="00BA7E6D"/>
    <w:rsid w:val="00BB0F2F"/>
    <w:rsid w:val="00BB1C66"/>
    <w:rsid w:val="00BB3596"/>
    <w:rsid w:val="00BB524D"/>
    <w:rsid w:val="00BB5385"/>
    <w:rsid w:val="00BB5653"/>
    <w:rsid w:val="00BB6E3C"/>
    <w:rsid w:val="00BC06CF"/>
    <w:rsid w:val="00BC133D"/>
    <w:rsid w:val="00BC3E9C"/>
    <w:rsid w:val="00BC4AF5"/>
    <w:rsid w:val="00BC5AA5"/>
    <w:rsid w:val="00BC7CC2"/>
    <w:rsid w:val="00BD049F"/>
    <w:rsid w:val="00BD0E9D"/>
    <w:rsid w:val="00BD218A"/>
    <w:rsid w:val="00BD399A"/>
    <w:rsid w:val="00BD557E"/>
    <w:rsid w:val="00BD5B18"/>
    <w:rsid w:val="00BD5F64"/>
    <w:rsid w:val="00BE0201"/>
    <w:rsid w:val="00BE3232"/>
    <w:rsid w:val="00BE520C"/>
    <w:rsid w:val="00BE5657"/>
    <w:rsid w:val="00BF0863"/>
    <w:rsid w:val="00BF16AD"/>
    <w:rsid w:val="00BF2C8B"/>
    <w:rsid w:val="00BF34A7"/>
    <w:rsid w:val="00BF3B14"/>
    <w:rsid w:val="00BF6218"/>
    <w:rsid w:val="00C00EA2"/>
    <w:rsid w:val="00C011EE"/>
    <w:rsid w:val="00C023AC"/>
    <w:rsid w:val="00C02535"/>
    <w:rsid w:val="00C0352A"/>
    <w:rsid w:val="00C0425B"/>
    <w:rsid w:val="00C05811"/>
    <w:rsid w:val="00C07BEF"/>
    <w:rsid w:val="00C1015B"/>
    <w:rsid w:val="00C103A1"/>
    <w:rsid w:val="00C10A10"/>
    <w:rsid w:val="00C10D6A"/>
    <w:rsid w:val="00C10EC0"/>
    <w:rsid w:val="00C13B9C"/>
    <w:rsid w:val="00C14063"/>
    <w:rsid w:val="00C15102"/>
    <w:rsid w:val="00C15A56"/>
    <w:rsid w:val="00C16562"/>
    <w:rsid w:val="00C20353"/>
    <w:rsid w:val="00C21CC2"/>
    <w:rsid w:val="00C22F0A"/>
    <w:rsid w:val="00C2325B"/>
    <w:rsid w:val="00C25B1C"/>
    <w:rsid w:val="00C26299"/>
    <w:rsid w:val="00C311E4"/>
    <w:rsid w:val="00C322BB"/>
    <w:rsid w:val="00C32DE4"/>
    <w:rsid w:val="00C33540"/>
    <w:rsid w:val="00C350F2"/>
    <w:rsid w:val="00C35B73"/>
    <w:rsid w:val="00C35B8F"/>
    <w:rsid w:val="00C35FBE"/>
    <w:rsid w:val="00C40E59"/>
    <w:rsid w:val="00C418BF"/>
    <w:rsid w:val="00C42505"/>
    <w:rsid w:val="00C4258F"/>
    <w:rsid w:val="00C44562"/>
    <w:rsid w:val="00C453FB"/>
    <w:rsid w:val="00C50166"/>
    <w:rsid w:val="00C502FF"/>
    <w:rsid w:val="00C55BED"/>
    <w:rsid w:val="00C55D03"/>
    <w:rsid w:val="00C55F3E"/>
    <w:rsid w:val="00C57311"/>
    <w:rsid w:val="00C61929"/>
    <w:rsid w:val="00C62E71"/>
    <w:rsid w:val="00C63059"/>
    <w:rsid w:val="00C631FE"/>
    <w:rsid w:val="00C63C08"/>
    <w:rsid w:val="00C66CCC"/>
    <w:rsid w:val="00C676A4"/>
    <w:rsid w:val="00C700B6"/>
    <w:rsid w:val="00C7182A"/>
    <w:rsid w:val="00C72659"/>
    <w:rsid w:val="00C734AC"/>
    <w:rsid w:val="00C73BD7"/>
    <w:rsid w:val="00C751D5"/>
    <w:rsid w:val="00C77091"/>
    <w:rsid w:val="00C80CAC"/>
    <w:rsid w:val="00C81E37"/>
    <w:rsid w:val="00C8516B"/>
    <w:rsid w:val="00C854C1"/>
    <w:rsid w:val="00C85B81"/>
    <w:rsid w:val="00C86748"/>
    <w:rsid w:val="00C9178F"/>
    <w:rsid w:val="00C93F76"/>
    <w:rsid w:val="00C96219"/>
    <w:rsid w:val="00C9655A"/>
    <w:rsid w:val="00C96FCA"/>
    <w:rsid w:val="00C9754D"/>
    <w:rsid w:val="00C975DF"/>
    <w:rsid w:val="00CA1672"/>
    <w:rsid w:val="00CA5D84"/>
    <w:rsid w:val="00CB0BB8"/>
    <w:rsid w:val="00CB1F96"/>
    <w:rsid w:val="00CC04E0"/>
    <w:rsid w:val="00CC1960"/>
    <w:rsid w:val="00CC4A01"/>
    <w:rsid w:val="00CC4F59"/>
    <w:rsid w:val="00CD1D28"/>
    <w:rsid w:val="00CD3719"/>
    <w:rsid w:val="00CE1CF3"/>
    <w:rsid w:val="00CE70F3"/>
    <w:rsid w:val="00CE7659"/>
    <w:rsid w:val="00CF09C7"/>
    <w:rsid w:val="00CF0BA3"/>
    <w:rsid w:val="00CF0E18"/>
    <w:rsid w:val="00CF29A4"/>
    <w:rsid w:val="00CF2F2E"/>
    <w:rsid w:val="00CF624D"/>
    <w:rsid w:val="00CF68C9"/>
    <w:rsid w:val="00CF6E34"/>
    <w:rsid w:val="00D01A80"/>
    <w:rsid w:val="00D066D9"/>
    <w:rsid w:val="00D076EF"/>
    <w:rsid w:val="00D108C5"/>
    <w:rsid w:val="00D10D7A"/>
    <w:rsid w:val="00D1124A"/>
    <w:rsid w:val="00D1187F"/>
    <w:rsid w:val="00D11C2D"/>
    <w:rsid w:val="00D15891"/>
    <w:rsid w:val="00D1618D"/>
    <w:rsid w:val="00D167B1"/>
    <w:rsid w:val="00D16D1B"/>
    <w:rsid w:val="00D217F2"/>
    <w:rsid w:val="00D21F66"/>
    <w:rsid w:val="00D240D9"/>
    <w:rsid w:val="00D24B66"/>
    <w:rsid w:val="00D24C22"/>
    <w:rsid w:val="00D25710"/>
    <w:rsid w:val="00D31492"/>
    <w:rsid w:val="00D3478B"/>
    <w:rsid w:val="00D348BD"/>
    <w:rsid w:val="00D354A1"/>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20E6"/>
    <w:rsid w:val="00D534EA"/>
    <w:rsid w:val="00D540A4"/>
    <w:rsid w:val="00D54DBC"/>
    <w:rsid w:val="00D570F3"/>
    <w:rsid w:val="00D61B87"/>
    <w:rsid w:val="00D61C85"/>
    <w:rsid w:val="00D624E5"/>
    <w:rsid w:val="00D634A8"/>
    <w:rsid w:val="00D63514"/>
    <w:rsid w:val="00D64C3D"/>
    <w:rsid w:val="00D65A1C"/>
    <w:rsid w:val="00D67099"/>
    <w:rsid w:val="00D71939"/>
    <w:rsid w:val="00D72D27"/>
    <w:rsid w:val="00D73317"/>
    <w:rsid w:val="00D73951"/>
    <w:rsid w:val="00D743C8"/>
    <w:rsid w:val="00D743DA"/>
    <w:rsid w:val="00D744B5"/>
    <w:rsid w:val="00D745B1"/>
    <w:rsid w:val="00D74C5F"/>
    <w:rsid w:val="00D753F3"/>
    <w:rsid w:val="00D9045B"/>
    <w:rsid w:val="00D90EA9"/>
    <w:rsid w:val="00D941C3"/>
    <w:rsid w:val="00D94868"/>
    <w:rsid w:val="00D94A99"/>
    <w:rsid w:val="00D95324"/>
    <w:rsid w:val="00D95482"/>
    <w:rsid w:val="00DA0390"/>
    <w:rsid w:val="00DA1940"/>
    <w:rsid w:val="00DA3C3C"/>
    <w:rsid w:val="00DB05EC"/>
    <w:rsid w:val="00DB166E"/>
    <w:rsid w:val="00DB3D8C"/>
    <w:rsid w:val="00DB43B8"/>
    <w:rsid w:val="00DB62B6"/>
    <w:rsid w:val="00DB7751"/>
    <w:rsid w:val="00DB7BD1"/>
    <w:rsid w:val="00DB7C8A"/>
    <w:rsid w:val="00DC2DC5"/>
    <w:rsid w:val="00DC341B"/>
    <w:rsid w:val="00DD312D"/>
    <w:rsid w:val="00DD3130"/>
    <w:rsid w:val="00DD35E7"/>
    <w:rsid w:val="00DD5486"/>
    <w:rsid w:val="00DD650E"/>
    <w:rsid w:val="00DD7968"/>
    <w:rsid w:val="00DE0B7E"/>
    <w:rsid w:val="00DE1418"/>
    <w:rsid w:val="00DE2205"/>
    <w:rsid w:val="00DE421E"/>
    <w:rsid w:val="00DE5454"/>
    <w:rsid w:val="00DE7F41"/>
    <w:rsid w:val="00DF0F50"/>
    <w:rsid w:val="00DF2309"/>
    <w:rsid w:val="00DF28DC"/>
    <w:rsid w:val="00DF3915"/>
    <w:rsid w:val="00DF44AC"/>
    <w:rsid w:val="00DF4CE2"/>
    <w:rsid w:val="00DF7162"/>
    <w:rsid w:val="00E0168F"/>
    <w:rsid w:val="00E12071"/>
    <w:rsid w:val="00E12660"/>
    <w:rsid w:val="00E12838"/>
    <w:rsid w:val="00E13071"/>
    <w:rsid w:val="00E15B2E"/>
    <w:rsid w:val="00E15BBF"/>
    <w:rsid w:val="00E15ECD"/>
    <w:rsid w:val="00E23F00"/>
    <w:rsid w:val="00E2599A"/>
    <w:rsid w:val="00E26A0F"/>
    <w:rsid w:val="00E30F85"/>
    <w:rsid w:val="00E318D4"/>
    <w:rsid w:val="00E339EE"/>
    <w:rsid w:val="00E3557A"/>
    <w:rsid w:val="00E4014C"/>
    <w:rsid w:val="00E401FC"/>
    <w:rsid w:val="00E42215"/>
    <w:rsid w:val="00E42702"/>
    <w:rsid w:val="00E42D1B"/>
    <w:rsid w:val="00E44548"/>
    <w:rsid w:val="00E46C0B"/>
    <w:rsid w:val="00E46FAB"/>
    <w:rsid w:val="00E474DC"/>
    <w:rsid w:val="00E5155C"/>
    <w:rsid w:val="00E55EA9"/>
    <w:rsid w:val="00E56307"/>
    <w:rsid w:val="00E56D55"/>
    <w:rsid w:val="00E56F52"/>
    <w:rsid w:val="00E57F76"/>
    <w:rsid w:val="00E60696"/>
    <w:rsid w:val="00E62028"/>
    <w:rsid w:val="00E62ABA"/>
    <w:rsid w:val="00E6393C"/>
    <w:rsid w:val="00E67E51"/>
    <w:rsid w:val="00E75C2E"/>
    <w:rsid w:val="00E76BE0"/>
    <w:rsid w:val="00E7790B"/>
    <w:rsid w:val="00E81714"/>
    <w:rsid w:val="00E861C6"/>
    <w:rsid w:val="00E91546"/>
    <w:rsid w:val="00E91678"/>
    <w:rsid w:val="00E9206E"/>
    <w:rsid w:val="00E93438"/>
    <w:rsid w:val="00E93F64"/>
    <w:rsid w:val="00E96092"/>
    <w:rsid w:val="00E96737"/>
    <w:rsid w:val="00E97047"/>
    <w:rsid w:val="00EA0668"/>
    <w:rsid w:val="00EA127F"/>
    <w:rsid w:val="00EA1F53"/>
    <w:rsid w:val="00EA4376"/>
    <w:rsid w:val="00EA70DC"/>
    <w:rsid w:val="00EB01FF"/>
    <w:rsid w:val="00EB06C6"/>
    <w:rsid w:val="00EB1B47"/>
    <w:rsid w:val="00EB4491"/>
    <w:rsid w:val="00EB46E1"/>
    <w:rsid w:val="00EB5D17"/>
    <w:rsid w:val="00EB7BD6"/>
    <w:rsid w:val="00EC20FD"/>
    <w:rsid w:val="00EC2EF8"/>
    <w:rsid w:val="00EC3DAC"/>
    <w:rsid w:val="00EC42FF"/>
    <w:rsid w:val="00EC5A73"/>
    <w:rsid w:val="00ED3B7C"/>
    <w:rsid w:val="00ED3D0C"/>
    <w:rsid w:val="00ED4AEF"/>
    <w:rsid w:val="00ED570E"/>
    <w:rsid w:val="00ED5CFE"/>
    <w:rsid w:val="00EE005A"/>
    <w:rsid w:val="00EE05CF"/>
    <w:rsid w:val="00EE10AE"/>
    <w:rsid w:val="00EE2DA2"/>
    <w:rsid w:val="00EE4290"/>
    <w:rsid w:val="00EE589E"/>
    <w:rsid w:val="00EE76D0"/>
    <w:rsid w:val="00EE7C89"/>
    <w:rsid w:val="00EF1185"/>
    <w:rsid w:val="00EF754D"/>
    <w:rsid w:val="00F027E9"/>
    <w:rsid w:val="00F0775E"/>
    <w:rsid w:val="00F15F69"/>
    <w:rsid w:val="00F1612D"/>
    <w:rsid w:val="00F173DD"/>
    <w:rsid w:val="00F21119"/>
    <w:rsid w:val="00F240AE"/>
    <w:rsid w:val="00F248C8"/>
    <w:rsid w:val="00F25164"/>
    <w:rsid w:val="00F277D3"/>
    <w:rsid w:val="00F30997"/>
    <w:rsid w:val="00F30DD8"/>
    <w:rsid w:val="00F32896"/>
    <w:rsid w:val="00F3357D"/>
    <w:rsid w:val="00F33C08"/>
    <w:rsid w:val="00F41AE7"/>
    <w:rsid w:val="00F41F44"/>
    <w:rsid w:val="00F42D17"/>
    <w:rsid w:val="00F457A0"/>
    <w:rsid w:val="00F46492"/>
    <w:rsid w:val="00F477B5"/>
    <w:rsid w:val="00F479A7"/>
    <w:rsid w:val="00F47B01"/>
    <w:rsid w:val="00F5057E"/>
    <w:rsid w:val="00F53410"/>
    <w:rsid w:val="00F541F8"/>
    <w:rsid w:val="00F5470A"/>
    <w:rsid w:val="00F551E6"/>
    <w:rsid w:val="00F5563D"/>
    <w:rsid w:val="00F56891"/>
    <w:rsid w:val="00F649A4"/>
    <w:rsid w:val="00F64CD4"/>
    <w:rsid w:val="00F65AB2"/>
    <w:rsid w:val="00F71BBB"/>
    <w:rsid w:val="00F73E78"/>
    <w:rsid w:val="00F740C2"/>
    <w:rsid w:val="00F7591E"/>
    <w:rsid w:val="00F75EF9"/>
    <w:rsid w:val="00F77A9B"/>
    <w:rsid w:val="00F83035"/>
    <w:rsid w:val="00F8458A"/>
    <w:rsid w:val="00F866B0"/>
    <w:rsid w:val="00F869EF"/>
    <w:rsid w:val="00F86BE4"/>
    <w:rsid w:val="00F86C7B"/>
    <w:rsid w:val="00F86D61"/>
    <w:rsid w:val="00F905B6"/>
    <w:rsid w:val="00F90B31"/>
    <w:rsid w:val="00F912D6"/>
    <w:rsid w:val="00F913D6"/>
    <w:rsid w:val="00F914B2"/>
    <w:rsid w:val="00F926B9"/>
    <w:rsid w:val="00F94B8E"/>
    <w:rsid w:val="00F9541D"/>
    <w:rsid w:val="00FA0403"/>
    <w:rsid w:val="00FA597D"/>
    <w:rsid w:val="00FA5B9A"/>
    <w:rsid w:val="00FA781C"/>
    <w:rsid w:val="00FB01B9"/>
    <w:rsid w:val="00FB63F6"/>
    <w:rsid w:val="00FB6FFC"/>
    <w:rsid w:val="00FB763A"/>
    <w:rsid w:val="00FB79C0"/>
    <w:rsid w:val="00FC2EB8"/>
    <w:rsid w:val="00FC5C43"/>
    <w:rsid w:val="00FD067A"/>
    <w:rsid w:val="00FD1598"/>
    <w:rsid w:val="00FD390B"/>
    <w:rsid w:val="00FD4090"/>
    <w:rsid w:val="00FD576E"/>
    <w:rsid w:val="00FD596B"/>
    <w:rsid w:val="00FE1A68"/>
    <w:rsid w:val="00FE58CC"/>
    <w:rsid w:val="00FE75A9"/>
    <w:rsid w:val="00FF058D"/>
    <w:rsid w:val="00FF1D8E"/>
    <w:rsid w:val="00FF2440"/>
    <w:rsid w:val="00FF322C"/>
    <w:rsid w:val="00FF7745"/>
    <w:rsid w:val="00FF7BCB"/>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1E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Body of text+1,Body of text+2,Body of text+3,List Paragraph1,List Paragraph11"/>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IJMMSParagraphChar">
    <w:name w:val="IJMMS Paragraph Char"/>
    <w:basedOn w:val="DefaultParagraphFont"/>
    <w:link w:val="IJMMSParagraph"/>
    <w:locked/>
    <w:rsid w:val="00A40A58"/>
    <w:rPr>
      <w:sz w:val="24"/>
      <w:szCs w:val="24"/>
      <w:lang w:val="en-AU" w:eastAsia="zh-CN"/>
    </w:rPr>
  </w:style>
  <w:style w:type="paragraph" w:customStyle="1" w:styleId="IJMMSParagraph">
    <w:name w:val="IJMMS Paragraph"/>
    <w:basedOn w:val="Normal"/>
    <w:link w:val="IJMMSParagraphChar"/>
    <w:rsid w:val="00A40A58"/>
    <w:pPr>
      <w:adjustRightInd w:val="0"/>
      <w:snapToGrid w:val="0"/>
      <w:spacing w:line="340" w:lineRule="atLeast"/>
      <w:ind w:firstLine="215"/>
      <w:jc w:val="both"/>
    </w:pPr>
    <w:rPr>
      <w:sz w:val="24"/>
      <w:szCs w:val="24"/>
      <w:lang w:val="en-AU" w:eastAsia="zh-CN"/>
    </w:rPr>
  </w:style>
  <w:style w:type="paragraph" w:customStyle="1" w:styleId="AuthorAffiliations">
    <w:name w:val="Author Affiliations"/>
    <w:basedOn w:val="Normal"/>
    <w:next w:val="Normal"/>
    <w:rsid w:val="00BE5657"/>
    <w:pPr>
      <w:spacing w:after="240"/>
      <w:jc w:val="center"/>
    </w:pPr>
    <w:rPr>
      <w:i/>
    </w:rPr>
  </w:style>
  <w:style w:type="character" w:customStyle="1" w:styleId="ListParagraphChar">
    <w:name w:val="List Paragraph Char"/>
    <w:aliases w:val="Body of text Char,Body of text+1 Char,Body of text+2 Char,Body of text+3 Char,List Paragraph1 Char,List Paragraph11 Char"/>
    <w:link w:val="ListParagraph"/>
    <w:uiPriority w:val="34"/>
    <w:locked/>
    <w:rsid w:val="004C584E"/>
    <w:rPr>
      <w:rFonts w:ascii="Calibri" w:hAnsi="Calibri"/>
      <w:sz w:val="22"/>
      <w:szCs w:val="22"/>
      <w:lang w:val="en-GB"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style>
  <w:style w:type="paragraph" w:styleId="Heading1">
    <w:name w:val="heading 1"/>
    <w:basedOn w:val="Normal"/>
    <w:next w:val="Normal"/>
    <w:qFormat/>
    <w:rsid w:val="00C15A56"/>
    <w:pPr>
      <w:keepNext/>
      <w:spacing w:line="480" w:lineRule="auto"/>
      <w:jc w:val="center"/>
      <w:outlineLvl w:val="0"/>
    </w:pPr>
    <w:rPr>
      <w:b/>
      <w:bCs/>
    </w:rPr>
  </w:style>
  <w:style w:type="paragraph" w:styleId="Heading2">
    <w:name w:val="heading 2"/>
    <w:basedOn w:val="Normal"/>
    <w:next w:val="Normal"/>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qFormat/>
    <w:rsid w:val="004710EE"/>
    <w:pPr>
      <w:keepNext/>
      <w:spacing w:before="240" w:after="60"/>
      <w:outlineLvl w:val="3"/>
    </w:pPr>
    <w:rPr>
      <w:b/>
      <w:bCs/>
      <w:sz w:val="28"/>
      <w:szCs w:val="28"/>
    </w:rPr>
  </w:style>
  <w:style w:type="paragraph" w:styleId="Heading5">
    <w:name w:val="heading 5"/>
    <w:basedOn w:val="Normal"/>
    <w:next w:val="Normal"/>
    <w:qFormat/>
    <w:rsid w:val="00DB3D8C"/>
    <w:pPr>
      <w:spacing w:before="240" w:after="60"/>
      <w:outlineLvl w:val="4"/>
    </w:pPr>
    <w:rPr>
      <w:b/>
      <w:bCs/>
      <w:i/>
      <w:iCs/>
      <w:sz w:val="26"/>
      <w:szCs w:val="26"/>
    </w:rPr>
  </w:style>
  <w:style w:type="paragraph" w:styleId="Heading6">
    <w:name w:val="heading 6"/>
    <w:basedOn w:val="Normal"/>
    <w:next w:val="Normal"/>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styleId="Title">
    <w:name w:val="Title"/>
    <w:basedOn w:val="Normal"/>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Body of text,Body of text+1,Body of text+2,Body of text+3,List Paragraph1,List Paragraph11"/>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IJMMSParagraphChar">
    <w:name w:val="IJMMS Paragraph Char"/>
    <w:basedOn w:val="DefaultParagraphFont"/>
    <w:link w:val="IJMMSParagraph"/>
    <w:locked/>
    <w:rsid w:val="00A40A58"/>
    <w:rPr>
      <w:sz w:val="24"/>
      <w:szCs w:val="24"/>
      <w:lang w:val="en-AU" w:eastAsia="zh-CN"/>
    </w:rPr>
  </w:style>
  <w:style w:type="paragraph" w:customStyle="1" w:styleId="IJMMSParagraph">
    <w:name w:val="IJMMS Paragraph"/>
    <w:basedOn w:val="Normal"/>
    <w:link w:val="IJMMSParagraphChar"/>
    <w:rsid w:val="00A40A58"/>
    <w:pPr>
      <w:adjustRightInd w:val="0"/>
      <w:snapToGrid w:val="0"/>
      <w:spacing w:line="340" w:lineRule="atLeast"/>
      <w:ind w:firstLine="215"/>
      <w:jc w:val="both"/>
    </w:pPr>
    <w:rPr>
      <w:sz w:val="24"/>
      <w:szCs w:val="24"/>
      <w:lang w:val="en-AU" w:eastAsia="zh-CN"/>
    </w:rPr>
  </w:style>
  <w:style w:type="paragraph" w:customStyle="1" w:styleId="AuthorAffiliations">
    <w:name w:val="Author Affiliations"/>
    <w:basedOn w:val="Normal"/>
    <w:next w:val="Normal"/>
    <w:rsid w:val="00BE5657"/>
    <w:pPr>
      <w:spacing w:after="240"/>
      <w:jc w:val="center"/>
    </w:pPr>
    <w:rPr>
      <w:i/>
    </w:rPr>
  </w:style>
  <w:style w:type="character" w:customStyle="1" w:styleId="ListParagraphChar">
    <w:name w:val="List Paragraph Char"/>
    <w:aliases w:val="Body of text Char,Body of text+1 Char,Body of text+2 Char,Body of text+3 Char,List Paragraph1 Char,List Paragraph11 Char"/>
    <w:link w:val="ListParagraph"/>
    <w:uiPriority w:val="34"/>
    <w:locked/>
    <w:rsid w:val="004C584E"/>
    <w:rPr>
      <w:rFonts w:ascii="Calibri" w:hAnsi="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86521">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328095220">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012611720">
      <w:bodyDiv w:val="1"/>
      <w:marLeft w:val="0"/>
      <w:marRight w:val="0"/>
      <w:marTop w:val="0"/>
      <w:marBottom w:val="0"/>
      <w:divBdr>
        <w:top w:val="none" w:sz="0" w:space="0" w:color="auto"/>
        <w:left w:val="none" w:sz="0" w:space="0" w:color="auto"/>
        <w:bottom w:val="none" w:sz="0" w:space="0" w:color="auto"/>
        <w:right w:val="none" w:sz="0" w:space="0" w:color="auto"/>
      </w:divBdr>
    </w:div>
    <w:div w:id="1151674700">
      <w:bodyDiv w:val="1"/>
      <w:marLeft w:val="0"/>
      <w:marRight w:val="0"/>
      <w:marTop w:val="0"/>
      <w:marBottom w:val="0"/>
      <w:divBdr>
        <w:top w:val="none" w:sz="0" w:space="0" w:color="auto"/>
        <w:left w:val="none" w:sz="0" w:space="0" w:color="auto"/>
        <w:bottom w:val="none" w:sz="0" w:space="0" w:color="auto"/>
        <w:right w:val="none" w:sz="0" w:space="0" w:color="auto"/>
      </w:divBdr>
    </w:div>
    <w:div w:id="1298334075">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761636069">
      <w:bodyDiv w:val="1"/>
      <w:marLeft w:val="0"/>
      <w:marRight w:val="0"/>
      <w:marTop w:val="0"/>
      <w:marBottom w:val="0"/>
      <w:divBdr>
        <w:top w:val="none" w:sz="0" w:space="0" w:color="auto"/>
        <w:left w:val="none" w:sz="0" w:space="0" w:color="auto"/>
        <w:bottom w:val="none" w:sz="0" w:space="0" w:color="auto"/>
        <w:right w:val="none" w:sz="0" w:space="0" w:color="auto"/>
      </w:divBdr>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1918393978">
      <w:bodyDiv w:val="1"/>
      <w:marLeft w:val="0"/>
      <w:marRight w:val="0"/>
      <w:marTop w:val="0"/>
      <w:marBottom w:val="0"/>
      <w:divBdr>
        <w:top w:val="none" w:sz="0" w:space="0" w:color="auto"/>
        <w:left w:val="none" w:sz="0" w:space="0" w:color="auto"/>
        <w:bottom w:val="none" w:sz="0" w:space="0" w:color="auto"/>
        <w:right w:val="none" w:sz="0" w:space="0" w:color="auto"/>
      </w:divBdr>
    </w:div>
    <w:div w:id="1919287679">
      <w:bodyDiv w:val="1"/>
      <w:marLeft w:val="0"/>
      <w:marRight w:val="0"/>
      <w:marTop w:val="0"/>
      <w:marBottom w:val="0"/>
      <w:divBdr>
        <w:top w:val="none" w:sz="0" w:space="0" w:color="auto"/>
        <w:left w:val="none" w:sz="0" w:space="0" w:color="auto"/>
        <w:bottom w:val="none" w:sz="0" w:space="0" w:color="auto"/>
        <w:right w:val="none" w:sz="0" w:space="0" w:color="auto"/>
      </w:divBdr>
    </w:div>
    <w:div w:id="1949041213">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s://creativecommons.org/licenses/by-sa/4.0/"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53DF0E-5258-467F-AC5B-37BD7039E3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24781</Words>
  <Characters>141257</Characters>
  <Application>Microsoft Office Word</Application>
  <DocSecurity>0</DocSecurity>
  <Lines>1177</Lines>
  <Paragraphs>331</Paragraphs>
  <ScaleCrop>false</ScaleCrop>
  <HeadingPairs>
    <vt:vector size="2" baseType="variant">
      <vt:variant>
        <vt:lpstr>Title</vt:lpstr>
      </vt:variant>
      <vt:variant>
        <vt:i4>1</vt:i4>
      </vt:variant>
    </vt:vector>
  </HeadingPairs>
  <TitlesOfParts>
    <vt:vector size="1" baseType="lpstr">
      <vt:lpstr>EduLearn</vt:lpstr>
    </vt:vector>
  </TitlesOfParts>
  <Company>cairo</Company>
  <LinksUpToDate>false</LinksUpToDate>
  <CharactersWithSpaces>165707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EduLearn</dc:title>
  <dc:creator>Windows User</dc:creator>
  <cp:lastModifiedBy>ASUS</cp:lastModifiedBy>
  <cp:revision>47</cp:revision>
  <cp:lastPrinted>2004-12-30T03:27:00Z</cp:lastPrinted>
  <dcterms:created xsi:type="dcterms:W3CDTF">2021-03-09T14:59:00Z</dcterms:created>
  <dcterms:modified xsi:type="dcterms:W3CDTF">2023-05-26T03:56:00Z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7983b9e7-6951-337e-a88d-b0ceefcab1e0</vt:lpwstr>
  </property>
  <property fmtid="{D5CDD505-2E9C-101B-9397-08002B2CF9AE}" pid="24" name="Mendeley Citation Style_1">
    <vt:lpwstr>http://www.zotero.org/styles/ieee</vt:lpwstr>
  </property>
</Properties>
</file>